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CPWFK6GD79UA06TG9ZRNKLJN7N80OSGR9J0XBJDWXGHRTDWTZ6BJQC0PFYYHPC6RBOMXSOZFZIA78IXJQSFTKF8H8RM0WOWB8NODYHB3C465D8F9009C4F8D0F6CC77E91F204BA" Type="http://schemas.microsoft.com/office/2006/relationships/officeDocumentMain" Target="docProps/core.xml"/><Relationship Id="SZWMY6GD79TQ0TBGRYRNKL0D7ZQMOSYREO0XOJDWXGI8TDWTN0BJQCJWFYSHP86RXXM6SOLJZI678MJJQEFAYF8Q89CMWI5B8SODRHB3116BC936E46F06104819CD94984D756C"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88A14">
      <w:pPr>
        <w:spacing w:line="360" w:lineRule="auto"/>
        <w:rPr>
          <w:rFonts w:hint="default" w:ascii="Times New Roman" w:hAnsi="Times New Roman" w:eastAsia="方正小标宋简体" w:cs="Times New Roman"/>
          <w:sz w:val="44"/>
          <w:szCs w:val="44"/>
        </w:rPr>
      </w:pPr>
      <w:bookmarkStart w:id="0" w:name="_GoBack"/>
      <w:bookmarkEnd w:id="0"/>
      <w:r>
        <w:rPr>
          <w:rFonts w:hint="default" w:ascii="Times New Roman" w:hAnsi="Times New Roman" w:eastAsia="黑体" w:cs="Times New Roman"/>
          <w:sz w:val="32"/>
          <w:szCs w:val="32"/>
        </w:rPr>
        <w:t>附件</w:t>
      </w:r>
      <w:r>
        <w:rPr>
          <w:rFonts w:hint="eastAsia" w:eastAsia="黑体" w:cs="Times New Roman"/>
          <w:sz w:val="32"/>
          <w:szCs w:val="32"/>
          <w:lang w:val="en-US" w:eastAsia="zh-CN"/>
        </w:rPr>
        <w:t>2</w:t>
      </w:r>
    </w:p>
    <w:p w14:paraId="625A7EB3">
      <w:pPr>
        <w:spacing w:after="240"/>
        <w:jc w:val="center"/>
        <w:rPr>
          <w:rFonts w:ascii="黑体" w:hAnsi="黑体" w:eastAsia="黑体"/>
          <w:kern w:val="0"/>
          <w:sz w:val="44"/>
          <w:szCs w:val="44"/>
        </w:rPr>
      </w:pPr>
      <w:r>
        <w:rPr>
          <w:rFonts w:hint="eastAsia" w:ascii="黑体" w:hAnsi="黑体" w:eastAsia="黑体"/>
          <w:kern w:val="0"/>
          <w:sz w:val="44"/>
          <w:szCs w:val="44"/>
        </w:rPr>
        <w:t>郑州商品交易所期货</w:t>
      </w:r>
      <w:r>
        <w:rPr>
          <w:rFonts w:hint="eastAsia" w:ascii="黑体" w:hAnsi="黑体" w:eastAsia="黑体"/>
          <w:kern w:val="0"/>
          <w:sz w:val="44"/>
          <w:szCs w:val="44"/>
          <w:lang w:eastAsia="zh-CN"/>
        </w:rPr>
        <w:t>交易</w:t>
      </w:r>
      <w:r>
        <w:rPr>
          <w:rFonts w:hint="eastAsia" w:ascii="黑体" w:hAnsi="黑体" w:eastAsia="黑体"/>
          <w:kern w:val="0"/>
          <w:sz w:val="44"/>
          <w:szCs w:val="44"/>
        </w:rPr>
        <w:t>管理办法</w:t>
      </w:r>
    </w:p>
    <w:p w14:paraId="0510B07D">
      <w:pPr>
        <w:spacing w:before="240" w:after="24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val="0"/>
          <w:bCs w:val="0"/>
          <w:color w:val="auto"/>
          <w:kern w:val="0"/>
          <w:sz w:val="24"/>
          <w:szCs w:val="24"/>
          <w:highlight w:val="none"/>
          <w:shd w:val="clear" w:color="auto" w:fill="FFFFFF"/>
          <w:lang w:eastAsia="zh-CN"/>
        </w:rPr>
        <w:t>202</w:t>
      </w:r>
      <w:r>
        <w:rPr>
          <w:rFonts w:hint="eastAsia" w:ascii="宋体" w:hAnsi="宋体" w:eastAsia="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年</w:t>
      </w:r>
      <w:r>
        <w:rPr>
          <w:rFonts w:hint="eastAsia" w:ascii="宋体" w:hAnsi="宋体" w:cs="宋体"/>
          <w:b w:val="0"/>
          <w:bCs w:val="0"/>
          <w:color w:val="auto"/>
          <w:kern w:val="0"/>
          <w:sz w:val="24"/>
          <w:szCs w:val="24"/>
          <w:highlight w:val="none"/>
          <w:shd w:val="clear" w:color="auto" w:fill="FFFFFF"/>
          <w:lang w:val="en-US" w:eastAsia="zh-CN"/>
        </w:rPr>
        <w:t>8</w:t>
      </w:r>
      <w:r>
        <w:rPr>
          <w:rFonts w:hint="eastAsia" w:ascii="宋体" w:hAnsi="宋体" w:eastAsia="宋体" w:cs="宋体"/>
          <w:b w:val="0"/>
          <w:bCs w:val="0"/>
          <w:color w:val="auto"/>
          <w:kern w:val="0"/>
          <w:sz w:val="24"/>
          <w:szCs w:val="24"/>
          <w:highlight w:val="none"/>
          <w:shd w:val="clear" w:color="auto" w:fill="FFFFFF"/>
          <w:lang w:eastAsia="zh-CN"/>
        </w:rPr>
        <w:t>月</w:t>
      </w:r>
      <w:r>
        <w:rPr>
          <w:rFonts w:hint="eastAsia" w:ascii="宋体" w:hAnsi="宋体" w:cs="宋体"/>
          <w:b w:val="0"/>
          <w:bCs w:val="0"/>
          <w:color w:val="auto"/>
          <w:kern w:val="0"/>
          <w:sz w:val="24"/>
          <w:szCs w:val="24"/>
          <w:highlight w:val="none"/>
          <w:shd w:val="clear" w:color="auto" w:fill="FFFFFF"/>
          <w:lang w:val="en-US" w:eastAsia="zh-CN"/>
        </w:rPr>
        <w:t>6</w:t>
      </w:r>
      <w:r>
        <w:rPr>
          <w:rFonts w:hint="eastAsia" w:ascii="宋体" w:hAnsi="宋体" w:eastAsia="宋体" w:cs="宋体"/>
          <w:b w:val="0"/>
          <w:bCs w:val="0"/>
          <w:color w:val="auto"/>
          <w:kern w:val="0"/>
          <w:sz w:val="24"/>
          <w:szCs w:val="24"/>
          <w:highlight w:val="none"/>
          <w:shd w:val="clear" w:color="auto" w:fill="FFFFFF"/>
          <w:lang w:eastAsia="zh-CN"/>
        </w:rPr>
        <w:t>日</w:t>
      </w:r>
      <w:r>
        <w:rPr>
          <w:rFonts w:hint="eastAsia" w:ascii="宋体" w:hAnsi="宋体" w:eastAsia="宋体" w:cs="宋体"/>
          <w:b w:val="0"/>
          <w:bCs w:val="0"/>
          <w:color w:val="auto"/>
          <w:kern w:val="0"/>
          <w:sz w:val="24"/>
          <w:szCs w:val="24"/>
          <w:highlight w:val="none"/>
          <w:shd w:val="clear" w:color="auto" w:fill="FFFFFF"/>
        </w:rPr>
        <w:t>郑州商品交易所第</w:t>
      </w:r>
      <w:r>
        <w:rPr>
          <w:rFonts w:hint="eastAsia" w:ascii="宋体" w:hAnsi="宋体" w:cs="宋体"/>
          <w:b w:val="0"/>
          <w:bCs w:val="0"/>
          <w:color w:val="auto"/>
          <w:kern w:val="0"/>
          <w:sz w:val="24"/>
          <w:szCs w:val="24"/>
          <w:highlight w:val="none"/>
          <w:shd w:val="clear" w:color="auto" w:fill="FFFFFF"/>
          <w:lang w:eastAsia="zh-CN"/>
        </w:rPr>
        <w:t>九</w:t>
      </w:r>
      <w:r>
        <w:rPr>
          <w:rFonts w:hint="eastAsia" w:ascii="宋体" w:hAnsi="宋体" w:eastAsia="宋体" w:cs="宋体"/>
          <w:b w:val="0"/>
          <w:bCs w:val="0"/>
          <w:color w:val="auto"/>
          <w:kern w:val="0"/>
          <w:sz w:val="24"/>
          <w:szCs w:val="24"/>
          <w:highlight w:val="none"/>
          <w:shd w:val="clear" w:color="auto" w:fill="FFFFFF"/>
        </w:rPr>
        <w:t>届理事会</w:t>
      </w:r>
      <w:r>
        <w:rPr>
          <w:rFonts w:hint="eastAsia" w:ascii="宋体" w:hAnsi="宋体" w:eastAsia="宋体" w:cs="宋体"/>
          <w:b w:val="0"/>
          <w:bCs w:val="0"/>
          <w:color w:val="auto"/>
          <w:kern w:val="0"/>
          <w:sz w:val="24"/>
          <w:szCs w:val="24"/>
          <w:highlight w:val="none"/>
          <w:shd w:val="clear" w:color="auto" w:fill="FFFFFF"/>
          <w:lang w:val="en-US" w:eastAsia="zh-CN"/>
        </w:rPr>
        <w:t>第</w:t>
      </w:r>
      <w:r>
        <w:rPr>
          <w:rFonts w:hint="eastAsia" w:ascii="宋体" w:hAnsi="宋体" w:cs="宋体"/>
          <w:b w:val="0"/>
          <w:bCs w:val="0"/>
          <w:color w:val="auto"/>
          <w:kern w:val="0"/>
          <w:sz w:val="24"/>
          <w:szCs w:val="24"/>
          <w:highlight w:val="none"/>
          <w:shd w:val="clear" w:color="auto" w:fill="FFFFFF"/>
          <w:lang w:val="en-US" w:eastAsia="zh-CN"/>
        </w:rPr>
        <w:t>四</w:t>
      </w:r>
      <w:r>
        <w:rPr>
          <w:rFonts w:hint="eastAsia" w:ascii="宋体" w:hAnsi="宋体" w:eastAsia="宋体" w:cs="宋体"/>
          <w:b w:val="0"/>
          <w:bCs w:val="0"/>
          <w:color w:val="auto"/>
          <w:kern w:val="0"/>
          <w:sz w:val="24"/>
          <w:szCs w:val="24"/>
          <w:highlight w:val="none"/>
          <w:shd w:val="clear" w:color="auto" w:fill="FFFFFF"/>
          <w:lang w:val="en-US" w:eastAsia="zh-CN"/>
        </w:rPr>
        <w:t>次会议审议通过，2026年</w:t>
      </w:r>
      <w:r>
        <w:rPr>
          <w:rFonts w:hint="eastAsia" w:ascii="宋体" w:hAnsi="宋体" w:cs="宋体"/>
          <w:b w:val="0"/>
          <w:bCs w:val="0"/>
          <w:color w:val="auto"/>
          <w:kern w:val="0"/>
          <w:sz w:val="24"/>
          <w:szCs w:val="24"/>
          <w:highlight w:val="none"/>
          <w:shd w:val="clear" w:color="auto" w:fill="FFFFFF"/>
          <w:lang w:val="en-US" w:eastAsia="zh-CN"/>
        </w:rPr>
        <w:t>9</w:t>
      </w:r>
      <w:r>
        <w:rPr>
          <w:rFonts w:hint="eastAsia" w:ascii="宋体" w:hAnsi="宋体" w:eastAsia="宋体" w:cs="宋体"/>
          <w:b w:val="0"/>
          <w:bCs w:val="0"/>
          <w:color w:val="auto"/>
          <w:kern w:val="0"/>
          <w:sz w:val="24"/>
          <w:szCs w:val="24"/>
          <w:highlight w:val="none"/>
          <w:shd w:val="clear" w:color="auto" w:fill="FFFFFF"/>
          <w:lang w:val="en-US" w:eastAsia="zh-CN"/>
        </w:rPr>
        <w:t>月</w:t>
      </w:r>
      <w:r>
        <w:rPr>
          <w:rFonts w:hint="eastAsia" w:ascii="宋体" w:hAnsi="宋体" w:cs="宋体"/>
          <w:b w:val="0"/>
          <w:bCs w:val="0"/>
          <w:color w:val="auto"/>
          <w:kern w:val="0"/>
          <w:sz w:val="24"/>
          <w:szCs w:val="24"/>
          <w:highlight w:val="none"/>
          <w:shd w:val="clear" w:color="auto" w:fill="FFFFFF"/>
          <w:lang w:val="en-US" w:eastAsia="zh-CN"/>
        </w:rPr>
        <w:t>11</w:t>
      </w:r>
      <w:r>
        <w:rPr>
          <w:rFonts w:hint="eastAsia" w:ascii="宋体" w:hAnsi="宋体" w:eastAsia="宋体" w:cs="宋体"/>
          <w:b w:val="0"/>
          <w:bCs w:val="0"/>
          <w:color w:val="auto"/>
          <w:kern w:val="0"/>
          <w:sz w:val="24"/>
          <w:szCs w:val="24"/>
          <w:highlight w:val="none"/>
          <w:shd w:val="clear" w:color="auto" w:fill="FFFFFF"/>
          <w:lang w:val="en-US" w:eastAsia="zh-CN"/>
        </w:rPr>
        <w:t>日</w:t>
      </w:r>
      <w:r>
        <w:rPr>
          <w:rFonts w:hint="eastAsia" w:ascii="仿宋" w:hAnsi="仿宋" w:eastAsia="仿宋" w:cs="仿宋"/>
          <w:b w:val="0"/>
          <w:bCs w:val="0"/>
          <w:color w:val="auto"/>
          <w:kern w:val="0"/>
          <w:sz w:val="24"/>
          <w:szCs w:val="24"/>
          <w:highlight w:val="none"/>
          <w:shd w:val="clear" w:color="auto" w:fill="FFFFFF"/>
          <w:lang w:val="en-US" w:eastAsia="zh-CN"/>
        </w:rPr>
        <w:t>〔</w:t>
      </w:r>
      <w:r>
        <w:rPr>
          <w:rFonts w:hint="eastAsia" w:ascii="宋体" w:hAnsi="宋体" w:eastAsia="宋体" w:cs="宋体"/>
          <w:b w:val="0"/>
          <w:bCs w:val="0"/>
          <w:color w:val="auto"/>
          <w:kern w:val="0"/>
          <w:sz w:val="24"/>
          <w:szCs w:val="24"/>
          <w:highlight w:val="none"/>
          <w:shd w:val="clear" w:color="auto" w:fill="FFFFFF"/>
          <w:lang w:val="en-US" w:eastAsia="zh-CN"/>
        </w:rPr>
        <w:t>2026</w:t>
      </w:r>
      <w:r>
        <w:rPr>
          <w:rFonts w:hint="eastAsia" w:ascii="仿宋" w:hAnsi="仿宋" w:eastAsia="仿宋" w:cs="仿宋"/>
          <w:b w:val="0"/>
          <w:bCs w:val="0"/>
          <w:color w:val="auto"/>
          <w:kern w:val="0"/>
          <w:sz w:val="24"/>
          <w:szCs w:val="24"/>
          <w:highlight w:val="none"/>
          <w:shd w:val="clear" w:color="auto" w:fill="FFFFFF"/>
          <w:lang w:val="en-US" w:eastAsia="zh-CN"/>
        </w:rPr>
        <w:t>〕137</w:t>
      </w:r>
      <w:r>
        <w:rPr>
          <w:rFonts w:hint="eastAsia" w:ascii="宋体" w:hAnsi="宋体" w:eastAsia="宋体" w:cs="宋体"/>
          <w:b w:val="0"/>
          <w:bCs w:val="0"/>
          <w:color w:val="auto"/>
          <w:kern w:val="0"/>
          <w:sz w:val="24"/>
          <w:szCs w:val="24"/>
          <w:highlight w:val="none"/>
          <w:shd w:val="clear" w:color="auto" w:fill="FFFFFF"/>
          <w:lang w:val="en-US" w:eastAsia="zh-CN"/>
        </w:rPr>
        <w:t>号公告发布，自</w:t>
      </w:r>
      <w:r>
        <w:rPr>
          <w:rFonts w:hint="eastAsia" w:ascii="宋体" w:hAnsi="宋体" w:cs="宋体"/>
          <w:b w:val="0"/>
          <w:bCs w:val="0"/>
          <w:color w:val="auto"/>
          <w:kern w:val="0"/>
          <w:sz w:val="24"/>
          <w:szCs w:val="24"/>
          <w:highlight w:val="none"/>
          <w:shd w:val="clear" w:color="auto" w:fill="FFFFFF"/>
          <w:lang w:val="en-US" w:eastAsia="zh-CN"/>
        </w:rPr>
        <w:t>发布之日起实施</w:t>
      </w:r>
      <w:r>
        <w:rPr>
          <w:rFonts w:hint="eastAsia" w:ascii="宋体" w:hAnsi="宋体" w:eastAsia="宋体" w:cs="宋体"/>
          <w:sz w:val="24"/>
          <w:szCs w:val="24"/>
          <w:highlight w:val="none"/>
        </w:rPr>
        <w:t>）</w:t>
      </w:r>
    </w:p>
    <w:p w14:paraId="5DDFB443">
      <w:pPr>
        <w:suppressAutoHyphens/>
        <w:bidi w:val="0"/>
        <w:spacing w:line="360" w:lineRule="auto"/>
        <w:jc w:val="center"/>
        <w:outlineLvl w:val="1"/>
        <w:rPr>
          <w:rFonts w:hint="eastAsia" w:ascii="黑体" w:hAnsi="宋体" w:eastAsia="黑体" w:cs="黑体"/>
          <w:bCs/>
          <w:color w:val="000000"/>
          <w:kern w:val="0"/>
          <w:sz w:val="32"/>
          <w:szCs w:val="32"/>
        </w:rPr>
      </w:pPr>
      <w:r>
        <w:rPr>
          <w:rFonts w:hint="eastAsia" w:ascii="黑体" w:hAnsi="宋体" w:eastAsia="黑体" w:cs="黑体"/>
          <w:bCs/>
          <w:color w:val="000000"/>
          <w:kern w:val="0"/>
          <w:sz w:val="32"/>
          <w:szCs w:val="32"/>
        </w:rPr>
        <w:t>第一章 总 则</w:t>
      </w:r>
    </w:p>
    <w:p w14:paraId="0B0FA7F4">
      <w:pPr>
        <w:widowControl/>
        <w:suppressAutoHyphens/>
        <w:bidi w:val="0"/>
        <w:spacing w:line="360" w:lineRule="auto"/>
        <w:ind w:firstLine="560" w:firstLineChars="200"/>
        <w:jc w:val="left"/>
        <w:rPr>
          <w:rFonts w:hint="eastAsia" w:ascii="宋体" w:hAnsi="宋体" w:cs="宋体"/>
          <w:color w:val="000000"/>
          <w:kern w:val="0"/>
          <w:sz w:val="28"/>
          <w:szCs w:val="28"/>
        </w:rPr>
      </w:pPr>
      <w:r>
        <w:rPr>
          <w:rFonts w:hint="eastAsia" w:ascii="黑体" w:hAnsi="宋体" w:eastAsia="黑体" w:cs="黑体"/>
          <w:color w:val="000000"/>
          <w:kern w:val="0"/>
          <w:sz w:val="28"/>
          <w:szCs w:val="28"/>
        </w:rPr>
        <w:t>第一条</w:t>
      </w:r>
      <w:r>
        <w:rPr>
          <w:rFonts w:hint="eastAsia" w:ascii="宋体" w:hAnsi="宋体" w:cs="宋体"/>
          <w:color w:val="000000"/>
          <w:kern w:val="0"/>
          <w:sz w:val="28"/>
          <w:szCs w:val="28"/>
        </w:rPr>
        <w:t xml:space="preserve"> 为了规范期货交易行为，保护期货交易当事人的合法权益，保障郑州商品交易所（以下简称交易所）期货交易的顺利进行，根据《郑州商品交易所交易规则》，制定本办法。</w:t>
      </w:r>
    </w:p>
    <w:p w14:paraId="6F404C1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cs="宋体"/>
          <w:color w:val="000000"/>
          <w:kern w:val="0"/>
          <w:sz w:val="28"/>
          <w:szCs w:val="28"/>
        </w:rPr>
      </w:pPr>
      <w:r>
        <w:rPr>
          <w:rFonts w:hint="eastAsia" w:ascii="黑体" w:hAnsi="宋体" w:eastAsia="黑体" w:cs="黑体"/>
          <w:color w:val="000000"/>
          <w:kern w:val="0"/>
          <w:sz w:val="28"/>
          <w:szCs w:val="28"/>
        </w:rPr>
        <w:t>第二条</w:t>
      </w:r>
      <w:r>
        <w:rPr>
          <w:rFonts w:hint="eastAsia" w:ascii="宋体" w:hAnsi="宋体" w:cs="宋体"/>
          <w:color w:val="000000"/>
          <w:kern w:val="0"/>
          <w:sz w:val="28"/>
          <w:szCs w:val="28"/>
        </w:rPr>
        <w:t xml:space="preserve"> 交易所、会员、境外特殊参与者、境外</w:t>
      </w:r>
      <w:r>
        <w:rPr>
          <w:rFonts w:hint="eastAsia" w:ascii="宋体" w:hAnsi="宋体" w:cs="宋体"/>
          <w:color w:val="000000"/>
          <w:kern w:val="0"/>
          <w:sz w:val="28"/>
          <w:szCs w:val="28"/>
          <w:lang w:eastAsia="zh-CN"/>
        </w:rPr>
        <w:t>中介</w:t>
      </w:r>
      <w:r>
        <w:rPr>
          <w:rFonts w:hint="eastAsia" w:ascii="宋体" w:hAnsi="宋体" w:cs="宋体"/>
          <w:color w:val="000000"/>
          <w:kern w:val="0"/>
          <w:sz w:val="28"/>
          <w:szCs w:val="28"/>
        </w:rPr>
        <w:t>机构、客户、信息技术服务机构等应当遵守本办法。</w:t>
      </w:r>
    </w:p>
    <w:p w14:paraId="2237883C">
      <w:pPr>
        <w:suppressAutoHyphens/>
        <w:bidi w:val="0"/>
        <w:spacing w:line="360" w:lineRule="auto"/>
        <w:jc w:val="center"/>
        <w:outlineLvl w:val="1"/>
        <w:rPr>
          <w:rFonts w:hint="eastAsia" w:ascii="黑体" w:hAnsi="宋体" w:eastAsia="黑体" w:cs="黑体"/>
          <w:bCs/>
          <w:color w:val="000000"/>
          <w:kern w:val="0"/>
          <w:sz w:val="32"/>
          <w:szCs w:val="32"/>
        </w:rPr>
      </w:pPr>
      <w:r>
        <w:rPr>
          <w:rFonts w:hint="eastAsia" w:ascii="黑体" w:hAnsi="宋体" w:eastAsia="黑体" w:cs="黑体"/>
          <w:bCs/>
          <w:color w:val="000000"/>
          <w:kern w:val="0"/>
          <w:sz w:val="32"/>
          <w:szCs w:val="32"/>
        </w:rPr>
        <w:t>第二章</w:t>
      </w:r>
      <w:r>
        <w:rPr>
          <w:rFonts w:hint="eastAsia" w:ascii="黑体" w:hAnsi="宋体" w:eastAsia="黑体" w:cs="黑体"/>
          <w:bCs/>
          <w:color w:val="000000"/>
          <w:kern w:val="0"/>
          <w:sz w:val="32"/>
          <w:szCs w:val="32"/>
          <w:lang w:val="en-US" w:eastAsia="zh-CN"/>
        </w:rPr>
        <w:t xml:space="preserve"> </w:t>
      </w:r>
      <w:r>
        <w:rPr>
          <w:rFonts w:hint="eastAsia" w:ascii="黑体" w:hAnsi="宋体" w:eastAsia="黑体" w:cs="黑体"/>
          <w:bCs/>
          <w:color w:val="000000"/>
          <w:kern w:val="0"/>
          <w:sz w:val="32"/>
          <w:szCs w:val="32"/>
        </w:rPr>
        <w:t>席位管理</w:t>
      </w:r>
    </w:p>
    <w:p w14:paraId="777A400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 xml:space="preserve">第三条 </w:t>
      </w:r>
      <w:r>
        <w:rPr>
          <w:rFonts w:hint="eastAsia" w:ascii="宋体" w:hAnsi="宋体" w:eastAsia="宋体" w:cs="宋体"/>
          <w:color w:val="000000"/>
          <w:kern w:val="0"/>
          <w:sz w:val="28"/>
          <w:szCs w:val="28"/>
        </w:rPr>
        <w:t>交易席位是会员、境外特殊参与者将交易指令输入交易所计算机交易系统参与集中竞价交易的通道。</w:t>
      </w:r>
    </w:p>
    <w:p w14:paraId="3B94DD58">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交易所提供的交易席位为远程交易席位。远程交易席位是指会员、境外特殊参与者在其营业场所，通过同交易所计算机交易系统联网的交易信息系统直接输入交易指令，参加交易所集中竞价交易的通道。</w:t>
      </w:r>
    </w:p>
    <w:p w14:paraId="79B66C8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根据业务发展需要，交易所可以设置特别席位，并与席位使用人约定相关权利和义务。</w:t>
      </w:r>
    </w:p>
    <w:p w14:paraId="29DC857B">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会员、境外特殊参与者不得将交易席位全部或者部分以发包、转包、转租、抵押、转让等形式交由其他机构和个人使用。</w:t>
      </w:r>
    </w:p>
    <w:p w14:paraId="4ED5CB5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第四条</w:t>
      </w:r>
      <w:r>
        <w:rPr>
          <w:rFonts w:hint="eastAsia" w:ascii="宋体" w:hAnsi="宋体" w:eastAsia="宋体" w:cs="宋体"/>
          <w:color w:val="000000"/>
          <w:kern w:val="0"/>
          <w:sz w:val="28"/>
          <w:szCs w:val="28"/>
        </w:rPr>
        <w:t xml:space="preserve"> 会员取得会员资格、境外特殊参与者取得境外特殊参与者资格后，可以申请使用远程交易席位。经交易所批准，可以增加远程交易席位。</w:t>
      </w:r>
    </w:p>
    <w:p w14:paraId="7D7C77A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第五条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会员、境外特殊参与者增加交易席位仅是增加其交易通道，交易所对该会员、境外特殊参与者的持仓限额、风险控制以及其他有关方面的管理规定不变。</w:t>
      </w:r>
    </w:p>
    <w:p w14:paraId="0C64EEC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第六条</w:t>
      </w:r>
      <w:r>
        <w:rPr>
          <w:rFonts w:hint="eastAsia" w:ascii="宋体" w:hAnsi="宋体" w:eastAsia="宋体" w:cs="宋体"/>
          <w:color w:val="000000"/>
          <w:kern w:val="0"/>
          <w:sz w:val="28"/>
          <w:szCs w:val="28"/>
        </w:rPr>
        <w:t xml:space="preserve"> 会员、境外特殊参与者使用远程交易席位，应当按照远程交易席位数量按年交纳远程交易席位使用费。撤销远程交易席位的，已收取的远程交易席位使用费不予退还。</w:t>
      </w:r>
    </w:p>
    <w:p w14:paraId="5C7DBC0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远程交易席位使用费收费标准由交易所另行公布。</w:t>
      </w:r>
    </w:p>
    <w:p w14:paraId="7DE65128">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第七条</w:t>
      </w:r>
      <w:r>
        <w:rPr>
          <w:rFonts w:hint="eastAsia" w:ascii="宋体" w:hAnsi="宋体" w:eastAsia="宋体" w:cs="宋体"/>
          <w:color w:val="000000"/>
          <w:kern w:val="0"/>
          <w:sz w:val="28"/>
          <w:szCs w:val="28"/>
        </w:rPr>
        <w:t xml:space="preserve"> 会员、境外特殊参与者申请远程交易席位，应当具备下列条件：</w:t>
      </w:r>
    </w:p>
    <w:p w14:paraId="0D80BE2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（一）经营状况良好，无严重违规违约记录；</w:t>
      </w:r>
    </w:p>
    <w:p w14:paraId="19588878">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（二）拟开设远程交易的所在地的通讯、资金划拨条件能满足交易所期货交易运作要求；</w:t>
      </w:r>
    </w:p>
    <w:p w14:paraId="7BCC2E3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（三）具有固定的远程交易场所及参与交易所集中竞价交易所需的计算机交易系统、通讯系统等软硬件设施和必要的备份措施；</w:t>
      </w:r>
    </w:p>
    <w:p w14:paraId="26FF893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（四）有健全的规章制度和远程交易管理办法；</w:t>
      </w:r>
    </w:p>
    <w:p w14:paraId="675A790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（五）符合中国证监会和交易所相关技术管理规范的要求。</w:t>
      </w:r>
    </w:p>
    <w:p w14:paraId="2A955AF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第八条</w:t>
      </w:r>
      <w:r>
        <w:rPr>
          <w:rFonts w:hint="eastAsia" w:ascii="宋体" w:hAnsi="宋体" w:eastAsia="宋体" w:cs="宋体"/>
          <w:color w:val="000000"/>
          <w:kern w:val="0"/>
          <w:sz w:val="28"/>
          <w:szCs w:val="28"/>
        </w:rPr>
        <w:t xml:space="preserve"> 会员、境外特殊参与者申请远程交易席位，应当通过会员服务系统向交易所提交下列材料：</w:t>
      </w:r>
    </w:p>
    <w:p w14:paraId="2C9E3EF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（一）远程交易席位的申请，包括开设远程交易席位的理由、条件、可行性论证等内容；</w:t>
      </w:r>
    </w:p>
    <w:p w14:paraId="6711AD0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（二）远程交易管理相关业务制度，包括数据安全管理等制度；</w:t>
      </w:r>
    </w:p>
    <w:p w14:paraId="2A2B19C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（三）计算机系统、通讯系统（包括通讯线路）、系统软件、应用软件等配置清单；</w:t>
      </w:r>
    </w:p>
    <w:p w14:paraId="0B6551A4">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（四）交易所要求提供的其他材料。</w:t>
      </w:r>
    </w:p>
    <w:p w14:paraId="6995ACB9">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第九条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交易所应当在收到会员、境外特殊参与者提交的远程交易席位申请材料之日起10个工作日内，作出是否批准的答复。</w:t>
      </w:r>
    </w:p>
    <w:p w14:paraId="53AC8DA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第十条</w:t>
      </w:r>
      <w:r>
        <w:rPr>
          <w:rFonts w:hint="eastAsia" w:ascii="宋体" w:hAnsi="宋体" w:eastAsia="宋体" w:cs="宋体"/>
          <w:color w:val="000000"/>
          <w:kern w:val="0"/>
          <w:sz w:val="28"/>
          <w:szCs w:val="28"/>
        </w:rPr>
        <w:t xml:space="preserve"> 会员、境外特殊参与者申请开设远程交易席位的，其远程交易信息系统软件、网络接入应当通过交易所测试。</w:t>
      </w:r>
    </w:p>
    <w:p w14:paraId="6ED5BF9F">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会员、境外特殊参与者不得通过远程交易席位及相关网络进行任何可能对交易所交易系统产生危害的行为。</w:t>
      </w:r>
    </w:p>
    <w:p w14:paraId="7D4F958C">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第十一条</w:t>
      </w:r>
      <w:r>
        <w:rPr>
          <w:rFonts w:hint="eastAsia" w:ascii="宋体" w:hAnsi="宋体" w:eastAsia="宋体" w:cs="宋体"/>
          <w:color w:val="000000"/>
          <w:kern w:val="0"/>
          <w:sz w:val="28"/>
          <w:szCs w:val="28"/>
        </w:rPr>
        <w:t xml:space="preserve"> 日盘交易时段内，会员、境外特殊参与者远程交易席位不能正常使用的，可以申请使用应急交易场所进行交易。</w:t>
      </w:r>
    </w:p>
    <w:p w14:paraId="16600A2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第十二条</w:t>
      </w:r>
      <w:r>
        <w:rPr>
          <w:rFonts w:hint="eastAsia" w:ascii="宋体" w:hAnsi="宋体" w:eastAsia="宋体" w:cs="宋体"/>
          <w:color w:val="000000"/>
          <w:kern w:val="0"/>
          <w:sz w:val="28"/>
          <w:szCs w:val="28"/>
        </w:rPr>
        <w:t xml:space="preserve"> 会员、境外特殊参与者应当加强对其远程交易席位的管理和远程交易系统的维护。会员、境外特殊参与者主要交易设施需要更换或者远程交易系统升级时，应当及时向交易所报备。交易所有权对远程交易席位的使用情况进行监督检查。因公共通信网络或者第三方交易软件原因导致远程交易席位不能正常使用的，交易所不承担责任。</w:t>
      </w:r>
    </w:p>
    <w:p w14:paraId="5E81053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第十三条</w:t>
      </w:r>
      <w:r>
        <w:rPr>
          <w:rFonts w:hint="eastAsia" w:ascii="宋体" w:hAnsi="宋体" w:eastAsia="宋体" w:cs="宋体"/>
          <w:color w:val="000000"/>
          <w:kern w:val="0"/>
          <w:sz w:val="28"/>
          <w:szCs w:val="28"/>
        </w:rPr>
        <w:t xml:space="preserve"> 非交易所管理原因，应急交易场所的计算机终端或者前置服务器自身发生故障，需要交易所为会员、境外特殊参与者更换交易设施或者重新连接交易系统的，交易所不承担责任。</w:t>
      </w:r>
    </w:p>
    <w:p w14:paraId="50FDCC44">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第十四条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有下列情况之一的，交易席位予以撤销：</w:t>
      </w:r>
    </w:p>
    <w:p w14:paraId="47B459A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（一）会员、境外特殊参与者提出撤销申请，并经交易所批准的；</w:t>
      </w:r>
    </w:p>
    <w:p w14:paraId="728A97E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（二）将远程交易席位以发包、转包、转租或者转让等形式交由其他机构和个人使用的；</w:t>
      </w:r>
    </w:p>
    <w:p w14:paraId="318602E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（三）管理混乱，有严重违规行为的；</w:t>
      </w:r>
    </w:p>
    <w:p w14:paraId="73E1177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（四）利用席位窃密或者破坏交易系统的。</w:t>
      </w:r>
    </w:p>
    <w:p w14:paraId="69A2EB7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第十五条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会员丧失交易所会员资格、境外特殊参与者丧失交易所境外特殊参与者资格的，其拥有的远程交易席位全部终止使用。</w:t>
      </w:r>
    </w:p>
    <w:p w14:paraId="1318B5AB">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第十六条</w:t>
      </w:r>
      <w:r>
        <w:rPr>
          <w:rFonts w:hint="eastAsia" w:ascii="宋体" w:hAnsi="宋体" w:eastAsia="宋体" w:cs="宋体"/>
          <w:color w:val="000000"/>
          <w:kern w:val="0"/>
          <w:sz w:val="28"/>
          <w:szCs w:val="28"/>
        </w:rPr>
        <w:t xml:space="preserve"> 因计算机系统、通讯系统等发生故障，致使10%以上的会员及境外特殊参与者不能交易的，或者出现交易所认为必要的其他情况，交易所可以采取调整开市、收市时间，暂停交易，调整相关合约最后交易日、到期日、最后交割日等日期以及其他必要的措施。</w:t>
      </w:r>
    </w:p>
    <w:p w14:paraId="6B6317F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第十七条</w:t>
      </w:r>
      <w:r>
        <w:rPr>
          <w:rFonts w:hint="eastAsia" w:ascii="宋体" w:hAnsi="宋体" w:eastAsia="宋体" w:cs="宋体"/>
          <w:color w:val="000000"/>
          <w:kern w:val="0"/>
          <w:sz w:val="28"/>
          <w:szCs w:val="28"/>
        </w:rPr>
        <w:t xml:space="preserve"> 交易所在夜盘交易时段不办理远程交易席位申请、变更和撤销业务。</w:t>
      </w:r>
    </w:p>
    <w:p w14:paraId="2CF73351">
      <w:pPr>
        <w:suppressAutoHyphens/>
        <w:bidi w:val="0"/>
        <w:spacing w:line="360" w:lineRule="auto"/>
        <w:jc w:val="center"/>
        <w:outlineLvl w:val="1"/>
        <w:rPr>
          <w:rFonts w:hint="eastAsia" w:ascii="黑体" w:hAnsi="宋体" w:eastAsia="黑体" w:cs="黑体"/>
          <w:bCs/>
          <w:color w:val="000000"/>
          <w:kern w:val="0"/>
          <w:sz w:val="32"/>
          <w:szCs w:val="32"/>
        </w:rPr>
      </w:pPr>
      <w:r>
        <w:rPr>
          <w:rFonts w:hint="eastAsia" w:ascii="黑体" w:hAnsi="宋体" w:eastAsia="黑体" w:cs="黑体"/>
          <w:bCs/>
          <w:color w:val="000000"/>
          <w:kern w:val="0"/>
          <w:sz w:val="32"/>
          <w:szCs w:val="32"/>
        </w:rPr>
        <w:t>第三章</w:t>
      </w:r>
      <w:r>
        <w:rPr>
          <w:rFonts w:hint="eastAsia" w:ascii="黑体" w:hAnsi="宋体" w:eastAsia="黑体" w:cs="黑体"/>
          <w:bCs/>
          <w:color w:val="000000"/>
          <w:kern w:val="0"/>
          <w:sz w:val="32"/>
          <w:szCs w:val="32"/>
          <w:lang w:val="en-US" w:eastAsia="zh-CN"/>
        </w:rPr>
        <w:t xml:space="preserve"> </w:t>
      </w:r>
      <w:r>
        <w:rPr>
          <w:rFonts w:hint="eastAsia" w:ascii="黑体" w:hAnsi="宋体" w:eastAsia="黑体" w:cs="黑体"/>
          <w:bCs/>
          <w:color w:val="000000"/>
          <w:kern w:val="0"/>
          <w:sz w:val="32"/>
          <w:szCs w:val="32"/>
        </w:rPr>
        <w:t>交易编码制度</w:t>
      </w:r>
    </w:p>
    <w:p w14:paraId="59C04D3B">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第十八条</w:t>
      </w:r>
      <w:r>
        <w:rPr>
          <w:rFonts w:hint="eastAsia" w:ascii="宋体" w:hAnsi="宋体" w:eastAsia="宋体" w:cs="宋体"/>
          <w:color w:val="000000"/>
          <w:kern w:val="0"/>
          <w:sz w:val="28"/>
          <w:szCs w:val="28"/>
        </w:rPr>
        <w:t xml:space="preserve"> 交易所实行交易编码制度。</w:t>
      </w:r>
    </w:p>
    <w:p w14:paraId="14A7F1F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交易编码是指由交易所分配给非期货公司会员、境外特殊非经纪参与者和客户进行期货交易的专用代码，是其进行交易、结算、交割和标准仓单确认的依据。</w:t>
      </w:r>
    </w:p>
    <w:p w14:paraId="6CFEA2BB">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第十九条</w:t>
      </w:r>
      <w:r>
        <w:rPr>
          <w:rFonts w:hint="eastAsia" w:ascii="宋体" w:hAnsi="宋体" w:eastAsia="宋体" w:cs="宋体"/>
          <w:color w:val="000000"/>
          <w:kern w:val="0"/>
          <w:sz w:val="28"/>
          <w:szCs w:val="28"/>
        </w:rPr>
        <w:t xml:space="preserve"> 交易编码由12位数字组成</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期货公司会员的客户交易编码前四位数是会员号，后八位数是客户编号；境外特殊经纪参与者的客户交易编码前四位</w:t>
      </w:r>
      <w:r>
        <w:rPr>
          <w:rFonts w:hint="eastAsia" w:ascii="宋体" w:hAnsi="宋体" w:eastAsia="宋体" w:cs="宋体"/>
          <w:color w:val="000000"/>
          <w:kern w:val="0"/>
          <w:sz w:val="28"/>
          <w:szCs w:val="28"/>
          <w:lang w:eastAsia="zh-CN"/>
        </w:rPr>
        <w:t>数</w:t>
      </w:r>
      <w:r>
        <w:rPr>
          <w:rFonts w:hint="eastAsia" w:ascii="宋体" w:hAnsi="宋体" w:eastAsia="宋体" w:cs="宋体"/>
          <w:color w:val="000000"/>
          <w:kern w:val="0"/>
          <w:sz w:val="28"/>
          <w:szCs w:val="28"/>
        </w:rPr>
        <w:t>是境外特殊参与者编号，后八位</w:t>
      </w:r>
      <w:r>
        <w:rPr>
          <w:rFonts w:hint="eastAsia" w:ascii="宋体" w:hAnsi="宋体" w:eastAsia="宋体" w:cs="宋体"/>
          <w:color w:val="000000"/>
          <w:kern w:val="0"/>
          <w:sz w:val="28"/>
          <w:szCs w:val="28"/>
          <w:lang w:eastAsia="zh-CN"/>
        </w:rPr>
        <w:t>数</w:t>
      </w:r>
      <w:r>
        <w:rPr>
          <w:rFonts w:hint="eastAsia" w:ascii="宋体" w:hAnsi="宋体" w:eastAsia="宋体" w:cs="宋体"/>
          <w:color w:val="000000"/>
          <w:kern w:val="0"/>
          <w:sz w:val="28"/>
          <w:szCs w:val="28"/>
        </w:rPr>
        <w:t>是客户编号。</w:t>
      </w:r>
    </w:p>
    <w:p w14:paraId="5F30E17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第二十条</w:t>
      </w:r>
      <w:r>
        <w:rPr>
          <w:rFonts w:hint="eastAsia" w:ascii="宋体" w:hAnsi="宋体" w:eastAsia="宋体" w:cs="宋体"/>
          <w:color w:val="000000"/>
          <w:kern w:val="0"/>
          <w:sz w:val="28"/>
          <w:szCs w:val="28"/>
        </w:rPr>
        <w:t xml:space="preserve"> 非期货公司会员、境外特殊非经纪参与者交易编码原则上为一个，确需增加交易编码的，应当向交易所提交书面申请，并阐明理由。交易所根据交易情况决定是否添加。</w:t>
      </w:r>
    </w:p>
    <w:p w14:paraId="5D91688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w:t>
      </w:r>
      <w:r>
        <w:rPr>
          <w:rFonts w:hint="eastAsia" w:ascii="黑体" w:hAnsi="宋体" w:eastAsia="黑体" w:cs="黑体"/>
          <w:color w:val="000000"/>
          <w:kern w:val="0"/>
          <w:sz w:val="28"/>
          <w:szCs w:val="28"/>
          <w:lang w:eastAsia="zh-CN"/>
        </w:rPr>
        <w:t>一</w:t>
      </w:r>
      <w:r>
        <w:rPr>
          <w:rFonts w:hint="eastAsia" w:ascii="黑体" w:hAnsi="宋体" w:eastAsia="黑体" w:cs="黑体"/>
          <w:color w:val="000000"/>
          <w:kern w:val="0"/>
          <w:sz w:val="28"/>
          <w:szCs w:val="28"/>
        </w:rPr>
        <w:t>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期货公司会员、境外特殊经纪参与者、境外</w:t>
      </w:r>
      <w:r>
        <w:rPr>
          <w:rFonts w:hint="eastAsia" w:ascii="宋体" w:hAnsi="宋体" w:eastAsia="宋体" w:cs="宋体"/>
          <w:color w:val="000000"/>
          <w:kern w:val="0"/>
          <w:sz w:val="28"/>
          <w:szCs w:val="28"/>
          <w:lang w:eastAsia="zh-CN"/>
        </w:rPr>
        <w:t>中介</w:t>
      </w:r>
      <w:r>
        <w:rPr>
          <w:rFonts w:hint="eastAsia" w:ascii="宋体" w:hAnsi="宋体" w:eastAsia="宋体" w:cs="宋体"/>
          <w:color w:val="000000"/>
          <w:kern w:val="0"/>
          <w:sz w:val="28"/>
          <w:szCs w:val="28"/>
        </w:rPr>
        <w:t>机构</w:t>
      </w:r>
      <w:r>
        <w:rPr>
          <w:rFonts w:hint="eastAsia" w:ascii="宋体" w:hAnsi="宋体" w:eastAsia="宋体" w:cs="宋体"/>
          <w:color w:val="000000"/>
          <w:kern w:val="0"/>
          <w:sz w:val="28"/>
          <w:szCs w:val="28"/>
          <w:lang w:eastAsia="zh-CN"/>
        </w:rPr>
        <w:t>（以下统称开户机构）</w:t>
      </w:r>
      <w:r>
        <w:rPr>
          <w:rFonts w:hint="eastAsia" w:ascii="宋体" w:hAnsi="宋体" w:eastAsia="宋体" w:cs="宋体"/>
          <w:color w:val="000000"/>
          <w:kern w:val="0"/>
          <w:sz w:val="28"/>
          <w:szCs w:val="28"/>
        </w:rPr>
        <w:t>应当按照中国期货市场监控中心有限责任公司（以下简称监控中心）相关开户规定，通过监控中心统一开户系统为客户申请、注销交易编码，以及修改与交易编码相关的客户资料。</w:t>
      </w:r>
    </w:p>
    <w:p w14:paraId="3D74273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根据中国法律、法规和规章规定，需要对资产进行分户管理的证券公司、基金管理公司、信托公司和其他金融机构，以及社会保障类公司、合格境外机构投资者、人民币合格境外机构投资者等特殊单位客户，可以按照监控中心的规定申请交易编码。</w:t>
      </w:r>
    </w:p>
    <w:p w14:paraId="79BB6B2C">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交易所收到监控中心转发的客户开户申请资料后，对交易编码进行分配、发放和管理，并将各类申请的处理结果通过监控中心反馈给开户机构。</w:t>
      </w:r>
    </w:p>
    <w:p w14:paraId="6715E718">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交易所收到非期货公司会员和境外特殊非经纪参与者的开户申请材料后，对非期货公司会员交易编码和境外特殊非经纪参与者的交易编码进行分配、发放和管理，并将处理结果告知非期货公司会员和境外特殊非经纪参与者。</w:t>
      </w:r>
    </w:p>
    <w:p w14:paraId="0CCD14F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交易编码经交易所审核确认后方可使用。</w:t>
      </w:r>
    </w:p>
    <w:p w14:paraId="7D5D88B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w:t>
      </w:r>
      <w:r>
        <w:rPr>
          <w:rFonts w:hint="eastAsia" w:ascii="黑体" w:hAnsi="宋体" w:eastAsia="黑体" w:cs="黑体"/>
          <w:color w:val="000000"/>
          <w:kern w:val="0"/>
          <w:sz w:val="28"/>
          <w:szCs w:val="28"/>
          <w:lang w:eastAsia="zh-CN"/>
        </w:rPr>
        <w:t>二</w:t>
      </w:r>
      <w:r>
        <w:rPr>
          <w:rFonts w:hint="eastAsia" w:ascii="黑体" w:hAnsi="宋体" w:eastAsia="黑体" w:cs="黑体"/>
          <w:color w:val="000000"/>
          <w:kern w:val="0"/>
          <w:sz w:val="28"/>
          <w:szCs w:val="28"/>
        </w:rPr>
        <w:t xml:space="preserve">条 </w:t>
      </w:r>
      <w:r>
        <w:rPr>
          <w:rFonts w:hint="eastAsia" w:ascii="宋体" w:hAnsi="宋体" w:eastAsia="宋体" w:cs="宋体"/>
          <w:color w:val="000000"/>
          <w:kern w:val="0"/>
          <w:sz w:val="28"/>
          <w:szCs w:val="28"/>
        </w:rPr>
        <w:t>一个客户同一时期内在交易所只能有一个客户编号，但可以在不同的开户机构开户</w:t>
      </w:r>
      <w:r>
        <w:rPr>
          <w:rFonts w:hint="eastAsia" w:ascii="宋体" w:hAnsi="宋体" w:eastAsia="宋体" w:cs="宋体"/>
          <w:color w:val="000000"/>
          <w:kern w:val="0"/>
          <w:sz w:val="28"/>
          <w:szCs w:val="28"/>
          <w:lang w:eastAsia="zh-CN"/>
        </w:rPr>
        <w:t>。在不同开户机构开户的客户，</w:t>
      </w:r>
      <w:r>
        <w:rPr>
          <w:rFonts w:hint="eastAsia" w:ascii="宋体" w:hAnsi="宋体" w:eastAsia="宋体" w:cs="宋体"/>
          <w:color w:val="000000"/>
          <w:kern w:val="0"/>
          <w:sz w:val="28"/>
          <w:szCs w:val="28"/>
        </w:rPr>
        <w:t>其后八位客户编号必须相同。</w:t>
      </w:r>
    </w:p>
    <w:p w14:paraId="27FBAE2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第二十三条</w:t>
      </w:r>
      <w:r>
        <w:rPr>
          <w:rFonts w:hint="eastAsia" w:ascii="宋体" w:hAnsi="宋体" w:eastAsia="宋体" w:cs="宋体"/>
          <w:color w:val="000000"/>
          <w:kern w:val="0"/>
          <w:sz w:val="28"/>
          <w:szCs w:val="28"/>
          <w:lang w:val="en-US" w:eastAsia="zh-CN"/>
        </w:rPr>
        <w:t xml:space="preserve"> 开户机构</w:t>
      </w:r>
      <w:r>
        <w:rPr>
          <w:rFonts w:hint="eastAsia" w:ascii="宋体" w:hAnsi="宋体" w:eastAsia="宋体" w:cs="宋体"/>
          <w:color w:val="000000"/>
          <w:kern w:val="0"/>
          <w:sz w:val="28"/>
          <w:szCs w:val="28"/>
        </w:rPr>
        <w:t>应当保证客户资料的真实、合法、有效、准确，并妥善保存客户开户、变更及销户资料档案。</w:t>
      </w:r>
    </w:p>
    <w:p w14:paraId="321AD0EB">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开户机构对上述资料的保管期限不得少于20年。</w:t>
      </w:r>
    </w:p>
    <w:p w14:paraId="13D9D8C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第二十四条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客户资料不真实或者被认定为市场禁入者的，交易所可以对其实施暂停开新仓、限期平仓、注销交易编码等措施。</w:t>
      </w:r>
    </w:p>
    <w:p w14:paraId="5B348B4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第二十五条</w:t>
      </w:r>
      <w:r>
        <w:rPr>
          <w:rFonts w:hint="eastAsia" w:ascii="宋体" w:hAnsi="宋体" w:eastAsia="宋体" w:cs="宋体"/>
          <w:color w:val="000000"/>
          <w:kern w:val="0"/>
          <w:sz w:val="28"/>
          <w:szCs w:val="28"/>
        </w:rPr>
        <w:t xml:space="preserve"> 非期货公司会员、境外特殊非经纪参与者及客户提供虚假开户资料，或者开户机构协助客户使用虚假资料开户的，交易所可以责令限期平仓；平仓后注销其交易编码，同时按照《郑州商品交易所违规处理办法》有关规定进行处理。</w:t>
      </w:r>
    </w:p>
    <w:p w14:paraId="34B832D8">
      <w:pPr>
        <w:suppressAutoHyphens/>
        <w:bidi w:val="0"/>
        <w:spacing w:line="360" w:lineRule="auto"/>
        <w:jc w:val="center"/>
        <w:outlineLvl w:val="1"/>
        <w:rPr>
          <w:rFonts w:hint="eastAsia" w:ascii="黑体" w:hAnsi="宋体" w:eastAsia="黑体" w:cs="黑体"/>
          <w:bCs/>
          <w:color w:val="000000"/>
          <w:kern w:val="0"/>
          <w:sz w:val="32"/>
          <w:szCs w:val="32"/>
        </w:rPr>
      </w:pPr>
      <w:r>
        <w:rPr>
          <w:rFonts w:hint="eastAsia" w:ascii="黑体" w:hAnsi="宋体" w:eastAsia="黑体" w:cs="黑体"/>
          <w:bCs/>
          <w:color w:val="000000"/>
          <w:kern w:val="0"/>
          <w:sz w:val="32"/>
          <w:szCs w:val="32"/>
        </w:rPr>
        <w:t>第四章</w:t>
      </w:r>
      <w:r>
        <w:rPr>
          <w:rFonts w:hint="eastAsia" w:ascii="黑体" w:hAnsi="宋体" w:eastAsia="黑体" w:cs="黑体"/>
          <w:bCs/>
          <w:color w:val="000000"/>
          <w:kern w:val="0"/>
          <w:sz w:val="32"/>
          <w:szCs w:val="32"/>
          <w:lang w:val="en-US" w:eastAsia="zh-CN"/>
        </w:rPr>
        <w:t xml:space="preserve"> </w:t>
      </w:r>
      <w:r>
        <w:rPr>
          <w:rFonts w:hint="eastAsia" w:ascii="黑体" w:hAnsi="宋体" w:eastAsia="黑体" w:cs="黑体"/>
          <w:bCs/>
          <w:color w:val="000000"/>
          <w:kern w:val="0"/>
          <w:sz w:val="32"/>
          <w:szCs w:val="32"/>
        </w:rPr>
        <w:t>交易时间、交易指令与价格</w:t>
      </w:r>
    </w:p>
    <w:p w14:paraId="2DE4835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第二十六条</w:t>
      </w:r>
      <w:r>
        <w:rPr>
          <w:rFonts w:hint="eastAsia" w:ascii="宋体" w:hAnsi="宋体" w:eastAsia="宋体" w:cs="宋体"/>
          <w:color w:val="000000"/>
          <w:kern w:val="0"/>
          <w:sz w:val="28"/>
          <w:szCs w:val="28"/>
        </w:rPr>
        <w:t xml:space="preserve"> 期货交易的交易日分为夜盘交易和日盘交易时段，夜盘交易设一个交易小节，具体交易时间由交易所另行通知；日盘交易设两个交易小节，分别为第一节9:00-11:30，其中10:15-10:30为休息时间，第二节13:30-15:00。开展夜盘交易的品种由交易所另行公布。</w:t>
      </w:r>
    </w:p>
    <w:p w14:paraId="53A5ABD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对于开展夜盘交易的品种，“交易日”是指从夜盘开市至日盘收市的交易期间。</w:t>
      </w:r>
    </w:p>
    <w:p w14:paraId="0C4D953F">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第二十七条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期货交易指令的种类包括限价指令、市价指令、套利指令、取消指令和交易所规定的其他指令。</w:t>
      </w:r>
    </w:p>
    <w:p w14:paraId="576FD274">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限价指令是指执行时以限定价格或者更好价格成交的指令。集合竞价结束后，未成交的限价指令于开市后继续执行。</w:t>
      </w:r>
    </w:p>
    <w:p w14:paraId="4763A21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市价指令是指没有标明具体价位，按当时市场上可执行的最好价格（报价）成交的指令。市价指令不参与集合竞价；交易期间，市价指令先于限价指令执行；行情出现单方无报价时，未成交的市价指令自动撤销。</w:t>
      </w:r>
    </w:p>
    <w:p w14:paraId="3B157C9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套利指令分为跨期套利指令和跨品种套利指令。跨期套利指令是指同时买进（卖出）和卖出（买进）两个相同标的物但不同到期日期货合约的指令；跨品种套利指令是指同时买进（卖出）和卖出（买进）两个不同标的物期货合约的指令。套利指令不参与集合竞价；行情出现单方无报价时，不得下达套利指令。</w:t>
      </w:r>
    </w:p>
    <w:p w14:paraId="71EA4E0A">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适用跨品种套利指令的具体品种由交易所公告。</w:t>
      </w:r>
    </w:p>
    <w:p w14:paraId="2C1FA50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取消指令是指客户要求将某一指令取消的指令。</w:t>
      </w:r>
    </w:p>
    <w:p w14:paraId="50363E9F">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期货交易指令每次最小下单量和最大下单量见各品种期货业务细则。交易所可以根据市场情况，对不同的上市品种、合约交易指令每次最小下单量、每次最大下单量进行调整，具体标准由交易所另行公布。本条所称每次最小下单量，包括每次最小开仓下单量和每次最小平仓下单量；每次最大下单量，包括每次最大开仓下单量和每次最大平仓下单量。</w:t>
      </w:r>
    </w:p>
    <w:p w14:paraId="509B99D4">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第二十八条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开展夜盘交易的品种，其开盘集合竞价在夜盘交易时段开市前5分钟内进行；如夜盘交易时段不交易，则集合竞价顺延至日盘开市前5分钟内进行。无夜盘交易的品种，其开盘集合竞价在日盘交易时段开市前5分钟内进行。集合竞价中，前4分钟为期货合约买、卖指令申报时间，后1分钟为集合竞价撮合时间，开市时产生开盘价。</w:t>
      </w:r>
    </w:p>
    <w:p w14:paraId="6131583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交易系统自动控制集合竞价申报的开始和结束并在计算机终端上显示。</w:t>
      </w:r>
    </w:p>
    <w:p w14:paraId="251E8D1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第二十九条</w:t>
      </w:r>
      <w:r>
        <w:rPr>
          <w:rFonts w:hint="eastAsia" w:ascii="宋体" w:hAnsi="宋体" w:eastAsia="宋体" w:cs="宋体"/>
          <w:color w:val="000000"/>
          <w:kern w:val="0"/>
          <w:sz w:val="28"/>
          <w:szCs w:val="28"/>
        </w:rPr>
        <w:t xml:space="preserve"> 集合竞价采用最大成交量原则，即以此价格成交能够得到最大成交量。</w:t>
      </w:r>
    </w:p>
    <w:p w14:paraId="098E5169">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第三十条</w:t>
      </w:r>
      <w:r>
        <w:rPr>
          <w:rFonts w:hint="eastAsia" w:ascii="宋体" w:hAnsi="宋体" w:eastAsia="宋体" w:cs="宋体"/>
          <w:color w:val="000000"/>
          <w:kern w:val="0"/>
          <w:sz w:val="28"/>
          <w:szCs w:val="28"/>
        </w:rPr>
        <w:t xml:space="preserve"> 开盘集合竞价中的未成交申报单自动参与开市后竞价交易。</w:t>
      </w:r>
    </w:p>
    <w:p w14:paraId="07C454FC">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夜盘交易中的未成交申报单，可以在同一交易日上午8：55至8：59之间取消。</w:t>
      </w:r>
    </w:p>
    <w:p w14:paraId="2EFF03E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第三十一条</w:t>
      </w:r>
      <w:r>
        <w:rPr>
          <w:rFonts w:hint="eastAsia" w:ascii="宋体" w:hAnsi="宋体" w:eastAsia="宋体" w:cs="宋体"/>
          <w:color w:val="000000"/>
          <w:kern w:val="0"/>
          <w:sz w:val="28"/>
          <w:szCs w:val="28"/>
        </w:rPr>
        <w:t xml:space="preserve"> 开市后交易所计算机自动撮合系统将买卖申报指令以价格优先、时间优先的原则进行排序。买入价大于、等于卖出价则自动撮合成交，撮合成交价等于买入价(bp)、卖出价(sp)和前一成交价(cp)三者中居中的一个价格。即：</w:t>
      </w:r>
    </w:p>
    <w:p w14:paraId="328BCF9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当bp≥sp≥cp,则最新成交价=sp；</w:t>
      </w:r>
    </w:p>
    <w:p w14:paraId="4BA811B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当bp≥cp≥sp,则最新成交价=cp；</w:t>
      </w:r>
    </w:p>
    <w:p w14:paraId="2DE831E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当cp≥bp≥sp,则最新成交价=bp。</w:t>
      </w:r>
    </w:p>
    <w:p w14:paraId="0ED8CF7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某一期货合约以涨跌停板价格成交的，撮合成交原则为平仓优先和时间优先。</w:t>
      </w:r>
    </w:p>
    <w:p w14:paraId="58974CB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第三十二条</w:t>
      </w:r>
      <w:r>
        <w:rPr>
          <w:rFonts w:hint="eastAsia" w:ascii="宋体" w:hAnsi="宋体" w:eastAsia="宋体" w:cs="宋体"/>
          <w:color w:val="000000"/>
          <w:kern w:val="0"/>
          <w:sz w:val="28"/>
          <w:szCs w:val="28"/>
        </w:rPr>
        <w:t xml:space="preserve"> 交易所应当及时发布以下与交易有关的信息：</w:t>
      </w:r>
    </w:p>
    <w:p w14:paraId="3D5259B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开盘价。开盘价是指某一期货合约开市前5分钟内经集合竞价产生的成交价格。集合竞价未产生成交价格的，以集合竞价后第一笔成交价为开盘价。第一笔成交价按本办法有关撮合原则的规定确定，此时前一成交价为上一交易日收盘价，新上市合约前一成交价为挂牌基准价。</w:t>
      </w:r>
    </w:p>
    <w:p w14:paraId="46AED1B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（二）收盘价。收盘价是指某一期货合约当日交易的最后一笔成交价格。</w:t>
      </w:r>
    </w:p>
    <w:p w14:paraId="026DEF1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（三）最高价。最高价是指一定时间内某一期货合约成交价中的最高成交价格。</w:t>
      </w:r>
    </w:p>
    <w:p w14:paraId="5618573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（四）最低价。最低价是指一定时间内某一期货合约成交价中的最低成交价格。</w:t>
      </w:r>
    </w:p>
    <w:p w14:paraId="62D027A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（五）最新价。最新价是指某一交易日某一期货合约交易期间的即时成交价格。</w:t>
      </w:r>
    </w:p>
    <w:p w14:paraId="3DBE2B8A">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（六）涨跌。涨跌是指某一交易日某一期货合约交易期间的最新价与上一交易日结算价之差。</w:t>
      </w:r>
    </w:p>
    <w:p w14:paraId="693BDE2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（七）最高买价。最高买价是指某一期货合约当日买方申请买入的即时最高价格。</w:t>
      </w:r>
    </w:p>
    <w:p w14:paraId="409F969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（八）最低卖价。最低卖价是指某一期货合约当日卖方申请卖出的即时最低价格。</w:t>
      </w:r>
    </w:p>
    <w:p w14:paraId="5575992F">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（九）申买量。申买量是指某一期货合约当日交易所交易系统中未成交的最高买价申请买入的下单数量。</w:t>
      </w:r>
    </w:p>
    <w:p w14:paraId="68B6DAF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（十）申卖量。申卖量是指某一期货合约当日交易所交易系统中未成交的最低卖价申请卖出的下单数量。</w:t>
      </w:r>
    </w:p>
    <w:p w14:paraId="3DBE344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十一）结算价。结算价是指某一期货合约当日成交价格按成交量的加权平均价。当日无成交的，当日结算价按照《郑州商品交易所期货结算管理办法》相关规定执行。结算价是进行当日未平仓合约盈亏结算和确定下一交易日涨跌停板额的依据。</w:t>
      </w:r>
    </w:p>
    <w:p w14:paraId="1796DDC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（十二）成交量。成交量是指某一期货合约在当日交易期间所有成交合约的单边数量。</w:t>
      </w:r>
    </w:p>
    <w:p w14:paraId="5CFFE668">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（十三）持仓量。持仓量是指期货交易者所持有的未平仓合约的单边数量。</w:t>
      </w:r>
    </w:p>
    <w:p w14:paraId="2C5E97F1">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第三十三条</w:t>
      </w:r>
      <w:r>
        <w:rPr>
          <w:rFonts w:hint="eastAsia" w:ascii="宋体" w:hAnsi="宋体" w:eastAsia="宋体" w:cs="宋体"/>
          <w:color w:val="000000"/>
          <w:kern w:val="0"/>
          <w:sz w:val="28"/>
          <w:szCs w:val="28"/>
        </w:rPr>
        <w:t xml:space="preserve"> 新上市品种的挂牌时间和挂牌基准价由交易所公布。</w:t>
      </w:r>
    </w:p>
    <w:p w14:paraId="6C8BD99C">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第三十四条</w:t>
      </w:r>
      <w:r>
        <w:rPr>
          <w:rFonts w:hint="eastAsia" w:ascii="宋体" w:hAnsi="宋体" w:eastAsia="宋体" w:cs="宋体"/>
          <w:color w:val="000000"/>
          <w:kern w:val="0"/>
          <w:sz w:val="28"/>
          <w:szCs w:val="28"/>
        </w:rPr>
        <w:t xml:space="preserve"> 新年度上市合约的挂牌时间为上一年度该合约交割月份最后交易日的下一交易日。</w:t>
      </w:r>
    </w:p>
    <w:p w14:paraId="4DF92D0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新上市合约的挂牌基准价为其最近月份合约前一交易日的结算价，交易所可以根据市场情况进行调整。挂牌基准价是确定新上市合约第一个交易日涨跌停板的依据。</w:t>
      </w:r>
    </w:p>
    <w:p w14:paraId="09D76839">
      <w:pPr>
        <w:suppressAutoHyphens/>
        <w:bidi w:val="0"/>
        <w:spacing w:line="360" w:lineRule="auto"/>
        <w:jc w:val="center"/>
        <w:outlineLvl w:val="1"/>
        <w:rPr>
          <w:rFonts w:hint="eastAsia" w:ascii="黑体" w:hAnsi="宋体" w:eastAsia="黑体" w:cs="黑体"/>
          <w:bCs/>
          <w:color w:val="000000"/>
          <w:kern w:val="0"/>
          <w:sz w:val="32"/>
          <w:szCs w:val="32"/>
        </w:rPr>
      </w:pPr>
      <w:r>
        <w:rPr>
          <w:rFonts w:hint="eastAsia" w:ascii="黑体" w:hAnsi="宋体" w:eastAsia="黑体" w:cs="黑体"/>
          <w:bCs/>
          <w:color w:val="000000"/>
          <w:kern w:val="0"/>
          <w:sz w:val="32"/>
          <w:szCs w:val="32"/>
        </w:rPr>
        <w:t>第五章</w:t>
      </w:r>
      <w:r>
        <w:rPr>
          <w:rFonts w:hint="eastAsia" w:ascii="黑体" w:hAnsi="宋体" w:eastAsia="黑体" w:cs="黑体"/>
          <w:bCs/>
          <w:color w:val="000000"/>
          <w:kern w:val="0"/>
          <w:sz w:val="32"/>
          <w:szCs w:val="32"/>
          <w:lang w:val="en-US" w:eastAsia="zh-CN"/>
        </w:rPr>
        <w:t xml:space="preserve"> </w:t>
      </w:r>
      <w:r>
        <w:rPr>
          <w:rFonts w:hint="eastAsia" w:ascii="黑体" w:hAnsi="宋体" w:eastAsia="黑体" w:cs="黑体"/>
          <w:bCs/>
          <w:color w:val="000000"/>
          <w:kern w:val="0"/>
          <w:sz w:val="32"/>
          <w:szCs w:val="32"/>
        </w:rPr>
        <w:t>信息管理</w:t>
      </w:r>
    </w:p>
    <w:p w14:paraId="5F2218C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第三十五条</w:t>
      </w:r>
      <w:r>
        <w:rPr>
          <w:rFonts w:hint="eastAsia" w:ascii="宋体" w:hAnsi="宋体" w:eastAsia="宋体" w:cs="宋体"/>
          <w:color w:val="000000"/>
          <w:kern w:val="0"/>
          <w:sz w:val="28"/>
          <w:szCs w:val="28"/>
        </w:rPr>
        <w:t xml:space="preserve"> 交易所期货交易信息是指在交易所期货交易活动中所产生的所有上市品种的期货交易行情、各种期货交易数据统计资料、交易所发布的各种公告信息，以及中国证监会指定披露的其他相关信息。</w:t>
      </w:r>
    </w:p>
    <w:p w14:paraId="5323319B">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第三十六条</w:t>
      </w:r>
      <w:r>
        <w:rPr>
          <w:rFonts w:hint="eastAsia" w:ascii="宋体" w:hAnsi="宋体" w:eastAsia="宋体" w:cs="宋体"/>
          <w:color w:val="000000"/>
          <w:kern w:val="0"/>
          <w:sz w:val="28"/>
          <w:szCs w:val="28"/>
        </w:rPr>
        <w:t xml:space="preserve"> 交易所拥有期货交易信息所有权。未经交易所授权许可，任何机构和个人不得从事与期货交易信息有关的业务，包括发布、经营、增值开发或者传播交易所信息等。</w:t>
      </w:r>
    </w:p>
    <w:p w14:paraId="26467A7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第三十七条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交易所根据有关规定和市场需要发布不同层次的即时信息、每日信息、每周信息、每月信息、每年信息等。</w:t>
      </w:r>
    </w:p>
    <w:p w14:paraId="2F3E4C7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第三十八条</w:t>
      </w:r>
      <w:r>
        <w:rPr>
          <w:rFonts w:hint="eastAsia" w:ascii="宋体" w:hAnsi="宋体" w:eastAsia="宋体" w:cs="宋体"/>
          <w:color w:val="000000"/>
          <w:kern w:val="0"/>
          <w:sz w:val="28"/>
          <w:szCs w:val="28"/>
        </w:rPr>
        <w:t xml:space="preserve"> 即时信息内容主要有：合约名称、交割月份、最新价、涨跌、成交量、持仓量、持仓量变化、申买价、申卖价、申买量、申卖量、每笔成交量、结算价、开盘价、收盘价、最高价、最低价和前结算价。</w:t>
      </w:r>
    </w:p>
    <w:p w14:paraId="5D1B10F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即时信息由交易所在交易时间内与交易活动同步发布。</w:t>
      </w:r>
    </w:p>
    <w:p w14:paraId="2157A30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第三十九条</w:t>
      </w:r>
      <w:r>
        <w:rPr>
          <w:rFonts w:hint="eastAsia" w:ascii="宋体" w:hAnsi="宋体" w:eastAsia="宋体" w:cs="宋体"/>
          <w:color w:val="000000"/>
          <w:kern w:val="0"/>
          <w:sz w:val="28"/>
          <w:szCs w:val="28"/>
        </w:rPr>
        <w:t xml:space="preserve"> 每日信息内容主要有：</w:t>
      </w:r>
    </w:p>
    <w:p w14:paraId="48C6B628">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（一）每日行情：合约名称、交割月份、开盘价、最高价、最低价、收盘价、前结算价、结算价、涨跌、成交量、持仓量、持仓量变化和成交额；</w:t>
      </w:r>
    </w:p>
    <w:p w14:paraId="1262F8E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（二）最近交割月及活跃月份合约前20名期货公司会员、境外特殊经纪参与者的成交量和买卖持仓量，以及所有月份合约期货转现货量；</w:t>
      </w:r>
    </w:p>
    <w:p w14:paraId="25CFD0AA">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（三）标准仓单数量及与上次发布的增减量情况；</w:t>
      </w:r>
    </w:p>
    <w:p w14:paraId="55C4198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（四）交割配对结果、实物交割量。</w:t>
      </w:r>
    </w:p>
    <w:p w14:paraId="3B9684D3">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每日期货交易信息由交易所在每个交易日闭市后发布。</w:t>
      </w:r>
    </w:p>
    <w:p w14:paraId="71421B04">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第四十条</w:t>
      </w:r>
      <w:r>
        <w:rPr>
          <w:rFonts w:hint="eastAsia" w:ascii="宋体" w:hAnsi="宋体" w:eastAsia="宋体" w:cs="宋体"/>
          <w:color w:val="000000"/>
          <w:kern w:val="0"/>
          <w:sz w:val="28"/>
          <w:szCs w:val="28"/>
        </w:rPr>
        <w:t xml:space="preserve"> 每周信息内容主要有：合约名称、交割月份、周开盘价、最高价、最低价、周收盘价、涨跌（本周末收盘价与上周末结算价之差）、持仓量、持仓量变化(本周末持仓量与上周末持仓量之差)、周末结算价、成交量和成交额。</w:t>
      </w:r>
    </w:p>
    <w:p w14:paraId="03617A5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每周期货交易信息由交易所在每周最后一个交易日闭市后发布。</w:t>
      </w:r>
    </w:p>
    <w:p w14:paraId="64C1967C">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第四十一条</w:t>
      </w:r>
      <w:r>
        <w:rPr>
          <w:rFonts w:hint="eastAsia" w:ascii="宋体" w:hAnsi="宋体" w:eastAsia="宋体" w:cs="宋体"/>
          <w:color w:val="000000"/>
          <w:kern w:val="0"/>
          <w:sz w:val="28"/>
          <w:szCs w:val="28"/>
        </w:rPr>
        <w:t xml:space="preserve"> 每月信息内容主要有：</w:t>
      </w:r>
    </w:p>
    <w:p w14:paraId="4ADC0F70">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每月行情：合约名称、交割月份、月开盘价、最高价、最低价、月末收盘价、涨跌（本月末收盘价与上月末结算价之差）、持仓量、持仓量变化(本月末持仓量与上月末持仓量之差)、月末结算价、成交量和成交额；</w:t>
      </w:r>
    </w:p>
    <w:p w14:paraId="41BCDAB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（二）所有品种成交量、成交金额，分品种成交量和成交金额；</w:t>
      </w:r>
    </w:p>
    <w:p w14:paraId="1B54E2D6">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（三）月度实物交割量。</w:t>
      </w:r>
    </w:p>
    <w:p w14:paraId="0E5A7BD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每月期货交易信息由交易所在每月最后一个交易日闭市后发布。</w:t>
      </w:r>
    </w:p>
    <w:p w14:paraId="64961D1C">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第四十二条</w:t>
      </w:r>
      <w:r>
        <w:rPr>
          <w:rFonts w:hint="eastAsia" w:ascii="宋体" w:hAnsi="宋体" w:eastAsia="宋体" w:cs="宋体"/>
          <w:color w:val="000000"/>
          <w:kern w:val="0"/>
          <w:sz w:val="28"/>
          <w:szCs w:val="28"/>
        </w:rPr>
        <w:t xml:space="preserve"> 每年信息内容主要有：</w:t>
      </w:r>
    </w:p>
    <w:p w14:paraId="316DDB5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（一）所有品种总交易量和总交易金额、分品种交易量和交易金额；</w:t>
      </w:r>
    </w:p>
    <w:p w14:paraId="42B3A1FA">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（二）会员成交量及成交金额排名；</w:t>
      </w:r>
    </w:p>
    <w:p w14:paraId="2885D144">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（三）总交割量和分品种交割量，期货转现货量。</w:t>
      </w:r>
    </w:p>
    <w:p w14:paraId="2D68E26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每年期货交易信息由交易所在每年最后一个交易日闭市后发布。</w:t>
      </w:r>
    </w:p>
    <w:p w14:paraId="4A284A7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第四十三条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交易所期货即时行情通过计算机网络传送至交易席位，并通过交易所授权的信息技术服务机构、公共媒体等发布。</w:t>
      </w:r>
    </w:p>
    <w:p w14:paraId="0B44BE62">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第四十四条</w:t>
      </w:r>
      <w:r>
        <w:rPr>
          <w:rFonts w:hint="eastAsia" w:ascii="宋体" w:hAnsi="宋体" w:eastAsia="宋体" w:cs="宋体"/>
          <w:color w:val="000000"/>
          <w:kern w:val="0"/>
          <w:sz w:val="28"/>
          <w:szCs w:val="28"/>
        </w:rPr>
        <w:t xml:space="preserve"> 交易所应当采取有效通信手段，建立同步报价和即时成交回报系统。</w:t>
      </w:r>
    </w:p>
    <w:p w14:paraId="0D2E46AE">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第四十五条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交易所</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会员、境外特殊参与者和境外中介机构等对不宜公开的交易资料、资金情况等信息有保密义务。</w:t>
      </w:r>
    </w:p>
    <w:p w14:paraId="5D5EE899">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 xml:space="preserve">第四十六条 </w:t>
      </w:r>
      <w:r>
        <w:rPr>
          <w:rFonts w:hint="eastAsia" w:ascii="宋体" w:hAnsi="宋体" w:eastAsia="宋体" w:cs="宋体"/>
          <w:color w:val="000000"/>
          <w:kern w:val="0"/>
          <w:sz w:val="28"/>
          <w:szCs w:val="28"/>
        </w:rPr>
        <w:t>因信息技术服务机构或者公共媒体转发交易行情信息发生故障，影响会员、境外特殊参与者、境外中介机构或者客户正常交易的，交易所不承担法律责任。</w:t>
      </w:r>
    </w:p>
    <w:p w14:paraId="55C7E3E5">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第四十七条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任何单位或者个人不得发布虚假的或者带有误导性质的期货交易信息。</w:t>
      </w:r>
    </w:p>
    <w:p w14:paraId="15376383">
      <w:pPr>
        <w:suppressAutoHyphens/>
        <w:bidi w:val="0"/>
        <w:spacing w:line="360" w:lineRule="auto"/>
        <w:jc w:val="center"/>
        <w:outlineLvl w:val="1"/>
        <w:rPr>
          <w:rFonts w:hint="eastAsia" w:ascii="黑体" w:hAnsi="宋体" w:eastAsia="黑体" w:cs="黑体"/>
          <w:bCs/>
          <w:color w:val="000000"/>
          <w:kern w:val="0"/>
          <w:sz w:val="32"/>
          <w:szCs w:val="32"/>
        </w:rPr>
      </w:pPr>
      <w:r>
        <w:rPr>
          <w:rFonts w:hint="eastAsia" w:ascii="黑体" w:hAnsi="宋体" w:eastAsia="黑体" w:cs="黑体"/>
          <w:bCs/>
          <w:color w:val="000000"/>
          <w:kern w:val="0"/>
          <w:sz w:val="32"/>
          <w:szCs w:val="32"/>
        </w:rPr>
        <w:t>第六章</w:t>
      </w:r>
      <w:r>
        <w:rPr>
          <w:rFonts w:hint="eastAsia" w:ascii="黑体" w:hAnsi="宋体" w:eastAsia="黑体" w:cs="黑体"/>
          <w:bCs/>
          <w:color w:val="000000"/>
          <w:kern w:val="0"/>
          <w:sz w:val="32"/>
          <w:szCs w:val="32"/>
          <w:lang w:val="en-US" w:eastAsia="zh-CN"/>
        </w:rPr>
        <w:t xml:space="preserve"> </w:t>
      </w:r>
      <w:r>
        <w:rPr>
          <w:rFonts w:hint="eastAsia" w:ascii="黑体" w:hAnsi="宋体" w:eastAsia="黑体" w:cs="黑体"/>
          <w:bCs/>
          <w:color w:val="000000"/>
          <w:kern w:val="0"/>
          <w:sz w:val="32"/>
          <w:szCs w:val="32"/>
        </w:rPr>
        <w:t>附则</w:t>
      </w:r>
    </w:p>
    <w:p w14:paraId="0553132D">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第四十八条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违反本办法规定的，交易所按照《郑州商品交易所违规处理办法》有关规定处理。</w:t>
      </w:r>
    </w:p>
    <w:p w14:paraId="055FCE8F">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第四十九条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本办法解释权属于郑州商品交易所。</w:t>
      </w:r>
    </w:p>
    <w:p w14:paraId="1D129CE7">
      <w:pPr>
        <w:keepNext w:val="0"/>
        <w:keepLines w:val="0"/>
        <w:pageBreakBefore w:val="0"/>
        <w:widowControl/>
        <w:suppressAutoHyphens/>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color w:val="000000"/>
          <w:kern w:val="0"/>
          <w:sz w:val="28"/>
          <w:szCs w:val="28"/>
        </w:rPr>
      </w:pPr>
      <w:r>
        <w:rPr>
          <w:rFonts w:hint="eastAsia" w:ascii="黑体" w:hAnsi="宋体" w:eastAsia="黑体" w:cs="黑体"/>
          <w:color w:val="000000"/>
          <w:kern w:val="0"/>
          <w:sz w:val="28"/>
          <w:szCs w:val="28"/>
        </w:rPr>
        <w:t>第五十条</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本办法自</w:t>
      </w:r>
      <w:r>
        <w:rPr>
          <w:rFonts w:hint="eastAsia" w:ascii="宋体" w:hAnsi="宋体" w:eastAsia="宋体" w:cs="宋体"/>
          <w:color w:val="000000"/>
          <w:kern w:val="0"/>
          <w:sz w:val="28"/>
          <w:szCs w:val="28"/>
          <w:lang w:val="en-US"/>
        </w:rPr>
        <w:t>202</w:t>
      </w:r>
      <w:r>
        <w:rPr>
          <w:rFonts w:hint="eastAsia" w:ascii="宋体" w:hAnsi="宋体" w:eastAsia="宋体" w:cs="宋体"/>
          <w:color w:val="000000"/>
          <w:kern w:val="0"/>
          <w:sz w:val="28"/>
          <w:szCs w:val="28"/>
          <w:lang w:val="en-US" w:eastAsia="zh-CN"/>
        </w:rPr>
        <w:t>6</w:t>
      </w:r>
      <w:r>
        <w:rPr>
          <w:rFonts w:hint="eastAsia" w:ascii="宋体" w:hAnsi="宋体" w:eastAsia="宋体" w:cs="宋体"/>
          <w:color w:val="000000"/>
          <w:kern w:val="0"/>
          <w:sz w:val="28"/>
          <w:szCs w:val="28"/>
        </w:rPr>
        <w:t>年</w:t>
      </w:r>
      <w:r>
        <w:rPr>
          <w:rFonts w:hint="eastAsia" w:ascii="宋体" w:hAnsi="宋体" w:eastAsia="宋体" w:cs="宋体"/>
          <w:color w:val="000000"/>
          <w:kern w:val="0"/>
          <w:sz w:val="28"/>
          <w:szCs w:val="28"/>
          <w:lang w:val="en-US" w:eastAsia="zh-CN"/>
        </w:rPr>
        <w:t>9</w:t>
      </w:r>
      <w:r>
        <w:rPr>
          <w:rFonts w:hint="eastAsia" w:ascii="宋体" w:hAnsi="宋体" w:eastAsia="宋体" w:cs="宋体"/>
          <w:color w:val="000000"/>
          <w:kern w:val="0"/>
          <w:sz w:val="28"/>
          <w:szCs w:val="28"/>
        </w:rPr>
        <w:t>月</w:t>
      </w:r>
      <w:r>
        <w:rPr>
          <w:rFonts w:hint="eastAsia" w:ascii="宋体" w:hAnsi="宋体" w:cs="宋体"/>
          <w:color w:val="000000"/>
          <w:kern w:val="0"/>
          <w:sz w:val="28"/>
          <w:szCs w:val="28"/>
          <w:lang w:val="en-US" w:eastAsia="zh-CN"/>
        </w:rPr>
        <w:t>11</w:t>
      </w:r>
      <w:r>
        <w:rPr>
          <w:rFonts w:hint="eastAsia" w:ascii="宋体" w:hAnsi="宋体" w:eastAsia="宋体" w:cs="宋体"/>
          <w:color w:val="000000"/>
          <w:kern w:val="0"/>
          <w:sz w:val="28"/>
          <w:szCs w:val="28"/>
        </w:rPr>
        <w:t>日起施行。</w:t>
      </w:r>
    </w:p>
    <w:p w14:paraId="0FCD916A">
      <w:pPr>
        <w:spacing w:before="240" w:after="240"/>
        <w:jc w:val="left"/>
        <w:rPr>
          <w:rFonts w:hint="eastAsia" w:ascii="宋体" w:hAnsi="宋体" w:eastAsia="宋体" w:cs="宋体"/>
          <w:sz w:val="24"/>
          <w:szCs w:val="24"/>
          <w:highlight w:val="none"/>
        </w:rPr>
      </w:pPr>
    </w:p>
    <w:p w14:paraId="78B96531">
      <w:pPr>
        <w:spacing w:before="240" w:after="240"/>
        <w:jc w:val="left"/>
        <w:rPr>
          <w:rFonts w:hint="eastAsia" w:ascii="宋体" w:hAnsi="宋体" w:eastAsia="宋体" w:cs="宋体"/>
          <w:sz w:val="24"/>
          <w:szCs w:val="24"/>
          <w:highlight w:val="none"/>
        </w:rPr>
      </w:pPr>
    </w:p>
    <w:p w14:paraId="7DFCA15B">
      <w:pPr>
        <w:rPr>
          <w:rFonts w:ascii="仿宋" w:hAnsi="仿宋" w:eastAsia="仿宋"/>
          <w:sz w:val="32"/>
          <w:szCs w:val="32"/>
        </w:rPr>
      </w:pPr>
    </w:p>
    <w:p w14:paraId="2AE70738">
      <w:pPr>
        <w:ind w:right="800"/>
        <w:rPr>
          <w:rFonts w:ascii="仿宋" w:hAnsi="仿宋" w:eastAsia="仿宋"/>
          <w:sz w:val="32"/>
          <w:szCs w:val="32"/>
        </w:rPr>
      </w:pPr>
    </w:p>
    <w:p w14:paraId="0FE7C973">
      <w:pPr>
        <w:ind w:right="800"/>
        <w:rPr>
          <w:rFonts w:ascii="仿宋" w:hAnsi="仿宋" w:eastAsia="仿宋"/>
          <w:sz w:val="32"/>
          <w:szCs w:val="32"/>
        </w:rPr>
      </w:pPr>
    </w:p>
    <w:p w14:paraId="5B58E227">
      <w:pPr>
        <w:ind w:right="800"/>
        <w:rPr>
          <w:rFonts w:ascii="仿宋" w:hAnsi="仿宋" w:eastAsia="仿宋"/>
          <w:sz w:val="32"/>
          <w:szCs w:val="32"/>
        </w:rPr>
      </w:pPr>
    </w:p>
    <w:p w14:paraId="0D5F902B">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D45E">
    <w:pPr>
      <w:pStyle w:val="5"/>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FE6A0">
    <w:pPr>
      <w:pStyle w:val="5"/>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4</w:t>
    </w:r>
    <w:r>
      <w:rPr>
        <w:rStyle w:val="9"/>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09D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B13B">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2EAB">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2FFF1D7B"/>
    <w:rsid w:val="3AFF71A1"/>
    <w:rsid w:val="3BBBD0A7"/>
    <w:rsid w:val="3EDCED27"/>
    <w:rsid w:val="3EE7635C"/>
    <w:rsid w:val="446F665D"/>
    <w:rsid w:val="474F8A0E"/>
    <w:rsid w:val="4988046C"/>
    <w:rsid w:val="4DF85A35"/>
    <w:rsid w:val="533FB8A4"/>
    <w:rsid w:val="5CD538E8"/>
    <w:rsid w:val="5E77DC51"/>
    <w:rsid w:val="5EDF6BFB"/>
    <w:rsid w:val="63A61902"/>
    <w:rsid w:val="65F7AB72"/>
    <w:rsid w:val="6A3FE0F8"/>
    <w:rsid w:val="6FD9A967"/>
    <w:rsid w:val="6FE846C7"/>
    <w:rsid w:val="775FCDFE"/>
    <w:rsid w:val="77778BA1"/>
    <w:rsid w:val="78031D0F"/>
    <w:rsid w:val="7B7D1611"/>
    <w:rsid w:val="7CBB60AA"/>
    <w:rsid w:val="7ECD3BF6"/>
    <w:rsid w:val="7F3DE459"/>
    <w:rsid w:val="7F7FDC63"/>
    <w:rsid w:val="7FF58CAF"/>
    <w:rsid w:val="7FFB2787"/>
    <w:rsid w:val="7FFB5081"/>
    <w:rsid w:val="93D3DF8E"/>
    <w:rsid w:val="9DA509B2"/>
    <w:rsid w:val="AD8B0FFD"/>
    <w:rsid w:val="AEFFD8F8"/>
    <w:rsid w:val="AFFE332C"/>
    <w:rsid w:val="BEFE9C54"/>
    <w:rsid w:val="BF7A93CF"/>
    <w:rsid w:val="BFD31D68"/>
    <w:rsid w:val="BFEBA0DE"/>
    <w:rsid w:val="D4F661D2"/>
    <w:rsid w:val="D8FE74C1"/>
    <w:rsid w:val="D9DE0D31"/>
    <w:rsid w:val="D9FB9A08"/>
    <w:rsid w:val="DBBD44B4"/>
    <w:rsid w:val="DE5E7ADE"/>
    <w:rsid w:val="DEFBD6D5"/>
    <w:rsid w:val="E634C873"/>
    <w:rsid w:val="E82D2B9D"/>
    <w:rsid w:val="EFBBA669"/>
    <w:rsid w:val="EFEF3AE2"/>
    <w:rsid w:val="F7DD6631"/>
    <w:rsid w:val="FBED556E"/>
    <w:rsid w:val="FEFD7228"/>
    <w:rsid w:val="FF7F79F3"/>
    <w:rsid w:val="FFDD5D62"/>
    <w:rsid w:val="FFE9466D"/>
    <w:rsid w:val="FFFAE3B3"/>
    <w:rsid w:val="FFFEA3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tabs>
        <w:tab w:val="left" w:pos="1620"/>
      </w:tabs>
      <w:spacing w:before="100" w:beforeLines="100" w:after="100" w:afterLines="100" w:line="240" w:lineRule="auto"/>
      <w:ind w:firstLine="0" w:firstLineChars="0"/>
      <w:jc w:val="center"/>
      <w:outlineLvl w:val="0"/>
    </w:pPr>
    <w:rPr>
      <w:rFonts w:ascii="宋体" w:hAnsi="宋体" w:eastAsia="宋体" w:cs="宋体"/>
      <w:b/>
      <w:kern w:val="44"/>
      <w:sz w:val="32"/>
    </w:rPr>
  </w:style>
  <w:style w:type="paragraph" w:styleId="3">
    <w:name w:val="heading 2"/>
    <w:basedOn w:val="2"/>
    <w:next w:val="1"/>
    <w:unhideWhenUsed/>
    <w:qFormat/>
    <w:uiPriority w:val="9"/>
    <w:pPr>
      <w:spacing w:before="40" w:beforeLines="40" w:after="40" w:afterLines="40"/>
      <w:outlineLvl w:val="1"/>
    </w:p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1"/>
    <w:qFormat/>
    <w:uiPriority w:val="0"/>
    <w:rPr>
      <w:rFonts w:ascii="仿宋_GB2312" w:eastAsia="仿宋_GB2312"/>
      <w:sz w:val="32"/>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页脚 Char"/>
    <w:basedOn w:val="8"/>
    <w:link w:val="5"/>
    <w:qFormat/>
    <w:uiPriority w:val="0"/>
    <w:rPr>
      <w:rFonts w:ascii="Times New Roman" w:hAnsi="Times New Roman" w:eastAsia="宋体" w:cs="Times New Roman"/>
      <w:sz w:val="18"/>
      <w:szCs w:val="18"/>
    </w:rPr>
  </w:style>
  <w:style w:type="character" w:customStyle="1" w:styleId="11">
    <w:name w:val="日期 Char"/>
    <w:basedOn w:val="8"/>
    <w:link w:val="4"/>
    <w:qFormat/>
    <w:uiPriority w:val="0"/>
    <w:rPr>
      <w:rFonts w:ascii="仿宋_GB2312" w:hAnsi="Times New Roman" w:eastAsia="仿宋_GB2312" w:cs="Times New Roman"/>
      <w:sz w:val="32"/>
      <w:szCs w:val="24"/>
    </w:rPr>
  </w:style>
  <w:style w:type="character" w:customStyle="1" w:styleId="12">
    <w:name w:val="页眉 Char"/>
    <w:basedOn w:val="8"/>
    <w:link w:val="6"/>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13</Pages>
  <Words>43</Words>
  <Characters>246</Characters>
  <Lines>2</Lines>
  <Paragraphs>1</Paragraphs>
  <TotalTime>0</TotalTime>
  <ScaleCrop>false</ScaleCrop>
  <LinksUpToDate>false</LinksUpToDate>
  <CharactersWithSpaces>288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严申芸</cp:lastModifiedBy>
  <dcterms:modified xsi:type="dcterms:W3CDTF">2026-09-14T03:02:10Z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3F520B81EF794924A2E10F54D172245F_13</vt:lpwstr>
  </property>
  <property fmtid="{D5CDD505-2E9C-101B-9397-08002B2CF9AE}" pid="4" name="_KSOProductBuildMID">
    <vt:lpwstr>CPWFK6GD79UA06TG9ZRNKLJN7N80OSGR9J0XBJDWXGHRTDWTZ6BJQC0PFYYHPC6RBOMXSOZFZIA78IXJQSFTKF8H8RM0WOWB8NODYHB3C465D8F9009C4F8D0F6CC77E91F204BA</vt:lpwstr>
  </property>
  <property fmtid="{D5CDD505-2E9C-101B-9397-08002B2CF9AE}" pid="5" name="_KSOProductBuildSID">
    <vt:lpwstr>F13364A9DF084A89B6461B69B7EAE71C</vt:lpwstr>
  </property>
</Properties>
</file>