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 件</w:t>
      </w:r>
    </w:p>
    <w:p>
      <w:pPr>
        <w:spacing w:line="360" w:lineRule="auto"/>
        <w:ind w:firstLine="883" w:firstLineChars="200"/>
        <w:contextualSpacing/>
        <w:jc w:val="center"/>
        <w:outlineLvl w:val="0"/>
        <w:rPr>
          <w:rFonts w:ascii="宋体" w:hAnsi="宋体"/>
          <w:b/>
          <w:bCs/>
          <w:sz w:val="44"/>
          <w:szCs w:val="44"/>
        </w:rPr>
      </w:pPr>
      <w:r>
        <w:rPr>
          <w:rFonts w:ascii="宋体" w:hAnsi="宋体"/>
          <w:b/>
          <w:bCs/>
          <w:sz w:val="44"/>
          <w:szCs w:val="44"/>
        </w:rPr>
        <w:t>郑州商品交易所</w:t>
      </w:r>
      <w:r>
        <w:rPr>
          <w:rFonts w:hint="eastAsia" w:ascii="宋体" w:hAnsi="宋体"/>
          <w:b/>
          <w:bCs/>
          <w:sz w:val="44"/>
          <w:szCs w:val="44"/>
        </w:rPr>
        <w:t>期货</w:t>
      </w:r>
      <w:r>
        <w:rPr>
          <w:rFonts w:ascii="宋体" w:hAnsi="宋体"/>
          <w:b/>
          <w:bCs/>
          <w:sz w:val="44"/>
          <w:szCs w:val="44"/>
        </w:rPr>
        <w:t>交易者适当性</w:t>
      </w:r>
    </w:p>
    <w:p>
      <w:pPr>
        <w:spacing w:line="360" w:lineRule="auto"/>
        <w:ind w:firstLine="883" w:firstLineChars="200"/>
        <w:contextualSpacing/>
        <w:jc w:val="center"/>
        <w:outlineLvl w:val="0"/>
        <w:rPr>
          <w:rFonts w:ascii="宋体" w:hAnsi="宋体"/>
          <w:b/>
          <w:bCs/>
          <w:sz w:val="44"/>
          <w:szCs w:val="44"/>
        </w:rPr>
      </w:pPr>
      <w:r>
        <w:rPr>
          <w:rFonts w:ascii="宋体" w:hAnsi="宋体"/>
          <w:b/>
          <w:bCs/>
          <w:sz w:val="44"/>
          <w:szCs w:val="44"/>
        </w:rPr>
        <w:t>制度</w:t>
      </w:r>
      <w:r>
        <w:rPr>
          <w:rFonts w:hint="eastAsia" w:ascii="宋体" w:hAnsi="宋体"/>
          <w:b/>
          <w:bCs/>
          <w:sz w:val="44"/>
          <w:szCs w:val="44"/>
        </w:rPr>
        <w:t>操作</w:t>
      </w:r>
      <w:r>
        <w:rPr>
          <w:rFonts w:ascii="宋体" w:hAnsi="宋体"/>
          <w:b/>
          <w:bCs/>
          <w:sz w:val="44"/>
          <w:szCs w:val="44"/>
        </w:rPr>
        <w:t>指引</w:t>
      </w:r>
    </w:p>
    <w:p>
      <w:pPr>
        <w:spacing w:line="360" w:lineRule="auto"/>
        <w:ind w:firstLine="640" w:firstLineChars="200"/>
        <w:contextualSpacing/>
        <w:rPr>
          <w:rFonts w:ascii="仿宋" w:hAnsi="仿宋" w:eastAsia="仿宋"/>
          <w:sz w:val="32"/>
          <w:szCs w:val="22"/>
        </w:rPr>
      </w:pP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为进一步明确郑州商品交易所</w:t>
      </w:r>
      <w:r>
        <w:rPr>
          <w:rFonts w:hint="eastAsia" w:ascii="仿宋" w:hAnsi="仿宋" w:eastAsia="仿宋"/>
          <w:sz w:val="32"/>
          <w:szCs w:val="22"/>
        </w:rPr>
        <w:t>（以下简称交易所）期货</w:t>
      </w:r>
      <w:r>
        <w:rPr>
          <w:rFonts w:ascii="仿宋" w:hAnsi="仿宋" w:eastAsia="仿宋"/>
          <w:sz w:val="32"/>
          <w:szCs w:val="22"/>
        </w:rPr>
        <w:t>交易者适当性制度操作要求，指导期货公司会员、</w:t>
      </w:r>
      <w:r>
        <w:rPr>
          <w:rFonts w:hint="eastAsia" w:ascii="仿宋" w:hAnsi="仿宋" w:eastAsia="仿宋"/>
          <w:sz w:val="32"/>
          <w:szCs w:val="22"/>
        </w:rPr>
        <w:t>境外特殊经纪参与者和</w:t>
      </w:r>
      <w:r>
        <w:rPr>
          <w:rFonts w:ascii="仿宋" w:hAnsi="仿宋" w:eastAsia="仿宋"/>
          <w:sz w:val="32"/>
          <w:szCs w:val="22"/>
        </w:rPr>
        <w:t>境外</w:t>
      </w:r>
      <w:r>
        <w:rPr>
          <w:rFonts w:hint="eastAsia" w:ascii="仿宋" w:hAnsi="仿宋" w:eastAsia="仿宋"/>
          <w:sz w:val="32"/>
          <w:szCs w:val="22"/>
          <w:lang w:eastAsia="zh-CN"/>
        </w:rPr>
        <w:t>中介</w:t>
      </w:r>
      <w:r>
        <w:rPr>
          <w:rFonts w:ascii="仿宋" w:hAnsi="仿宋" w:eastAsia="仿宋"/>
          <w:sz w:val="32"/>
          <w:szCs w:val="22"/>
        </w:rPr>
        <w:t>机构（以下统称开户机构）落</w:t>
      </w:r>
      <w:bookmarkStart w:id="0" w:name="_GoBack"/>
      <w:bookmarkEnd w:id="0"/>
      <w:r>
        <w:rPr>
          <w:rFonts w:ascii="仿宋" w:hAnsi="仿宋" w:eastAsia="仿宋"/>
          <w:sz w:val="32"/>
          <w:szCs w:val="22"/>
        </w:rPr>
        <w:t>实</w:t>
      </w:r>
      <w:r>
        <w:rPr>
          <w:rFonts w:hint="eastAsia" w:ascii="仿宋" w:hAnsi="仿宋" w:eastAsia="仿宋"/>
          <w:sz w:val="32"/>
          <w:szCs w:val="22"/>
        </w:rPr>
        <w:t>期货</w:t>
      </w:r>
      <w:r>
        <w:rPr>
          <w:rFonts w:ascii="仿宋" w:hAnsi="仿宋" w:eastAsia="仿宋"/>
          <w:sz w:val="32"/>
          <w:szCs w:val="22"/>
        </w:rPr>
        <w:t>交易者适当性制度，根据</w:t>
      </w:r>
      <w:r>
        <w:rPr>
          <w:rFonts w:ascii="仿宋" w:hAnsi="仿宋" w:eastAsia="仿宋"/>
          <w:sz w:val="32"/>
          <w:szCs w:val="22"/>
          <w:highlight w:val="none"/>
        </w:rPr>
        <w:t>《郑州商品交易所</w:t>
      </w:r>
      <w:r>
        <w:rPr>
          <w:rFonts w:hint="eastAsia" w:ascii="仿宋" w:hAnsi="仿宋" w:eastAsia="仿宋"/>
          <w:sz w:val="32"/>
          <w:szCs w:val="22"/>
          <w:highlight w:val="none"/>
        </w:rPr>
        <w:t>期货</w:t>
      </w:r>
      <w:r>
        <w:rPr>
          <w:rFonts w:ascii="仿宋" w:hAnsi="仿宋" w:eastAsia="仿宋"/>
          <w:sz w:val="32"/>
          <w:szCs w:val="22"/>
          <w:highlight w:val="none"/>
        </w:rPr>
        <w:t>交易</w:t>
      </w:r>
      <w:r>
        <w:rPr>
          <w:rFonts w:hint="eastAsia" w:ascii="仿宋" w:hAnsi="仿宋" w:eastAsia="仿宋"/>
          <w:sz w:val="32"/>
          <w:szCs w:val="22"/>
          <w:highlight w:val="none"/>
          <w:lang w:eastAsia="zh-CN"/>
        </w:rPr>
        <w:t>管理办法</w:t>
      </w:r>
      <w:r>
        <w:rPr>
          <w:rFonts w:ascii="仿宋" w:hAnsi="仿宋" w:eastAsia="仿宋"/>
          <w:sz w:val="32"/>
          <w:szCs w:val="22"/>
          <w:highlight w:val="none"/>
        </w:rPr>
        <w:t>》</w:t>
      </w:r>
      <w:r>
        <w:rPr>
          <w:rFonts w:ascii="仿宋" w:hAnsi="仿宋" w:eastAsia="仿宋"/>
          <w:sz w:val="32"/>
          <w:szCs w:val="22"/>
        </w:rPr>
        <w:t>《郑州商品交易所</w:t>
      </w:r>
      <w:r>
        <w:rPr>
          <w:rFonts w:hint="eastAsia" w:ascii="仿宋" w:hAnsi="仿宋" w:eastAsia="仿宋"/>
          <w:sz w:val="32"/>
          <w:szCs w:val="22"/>
        </w:rPr>
        <w:t>期货</w:t>
      </w:r>
      <w:r>
        <w:rPr>
          <w:rFonts w:ascii="仿宋" w:hAnsi="仿宋" w:eastAsia="仿宋"/>
          <w:sz w:val="32"/>
          <w:szCs w:val="22"/>
        </w:rPr>
        <w:t>交易者适当性管理办法》（以下简称《办法》）及其他相关规定，制定本指引。</w:t>
      </w:r>
    </w:p>
    <w:p>
      <w:pPr>
        <w:keepNext/>
        <w:keepLines/>
        <w:spacing w:line="360" w:lineRule="auto"/>
        <w:ind w:firstLine="640" w:firstLineChars="200"/>
        <w:contextualSpacing/>
        <w:outlineLvl w:val="1"/>
        <w:rPr>
          <w:rFonts w:eastAsia="黑体"/>
          <w:bCs/>
          <w:sz w:val="32"/>
          <w:szCs w:val="32"/>
        </w:rPr>
      </w:pPr>
      <w:r>
        <w:rPr>
          <w:rFonts w:hint="eastAsia" w:eastAsia="黑体"/>
          <w:bCs/>
          <w:sz w:val="32"/>
          <w:szCs w:val="32"/>
        </w:rPr>
        <w:t>一</w:t>
      </w:r>
      <w:r>
        <w:rPr>
          <w:rFonts w:eastAsia="黑体"/>
          <w:bCs/>
          <w:sz w:val="32"/>
          <w:szCs w:val="32"/>
        </w:rPr>
        <w:t>、交易权限管理要求</w:t>
      </w:r>
    </w:p>
    <w:p>
      <w:pPr>
        <w:spacing w:line="360" w:lineRule="auto"/>
        <w:ind w:firstLine="640" w:firstLineChars="200"/>
        <w:contextualSpacing/>
        <w:rPr>
          <w:rFonts w:ascii="仿宋" w:hAnsi="仿宋" w:eastAsia="仿宋"/>
          <w:sz w:val="32"/>
          <w:szCs w:val="22"/>
        </w:rPr>
      </w:pPr>
      <w:r>
        <w:rPr>
          <w:rFonts w:hint="eastAsia" w:ascii="仿宋" w:hAnsi="仿宋" w:eastAsia="仿宋"/>
          <w:sz w:val="32"/>
          <w:szCs w:val="22"/>
        </w:rPr>
        <w:t>（一）交易编码</w:t>
      </w:r>
      <w:r>
        <w:rPr>
          <w:rFonts w:ascii="仿宋" w:hAnsi="仿宋" w:eastAsia="仿宋"/>
          <w:sz w:val="32"/>
          <w:szCs w:val="22"/>
        </w:rPr>
        <w:t>实行权限管理。期货公司会员可以为通过适当性评估或者符合适当性评估豁免条件的境外客户</w:t>
      </w:r>
      <w:r>
        <w:rPr>
          <w:rFonts w:hint="eastAsia" w:ascii="仿宋" w:hAnsi="仿宋" w:eastAsia="仿宋"/>
          <w:sz w:val="32"/>
          <w:szCs w:val="22"/>
        </w:rPr>
        <w:t>申请交易编码，</w:t>
      </w:r>
      <w:r>
        <w:rPr>
          <w:rFonts w:ascii="仿宋" w:hAnsi="仿宋" w:eastAsia="仿宋"/>
          <w:sz w:val="32"/>
          <w:szCs w:val="22"/>
        </w:rPr>
        <w:t>境外客户获得交易编码后，期货公司会员应开通其特定品种</w:t>
      </w:r>
      <w:r>
        <w:rPr>
          <w:rFonts w:hint="eastAsia" w:ascii="仿宋" w:hAnsi="仿宋" w:eastAsia="仿宋"/>
          <w:sz w:val="32"/>
          <w:szCs w:val="22"/>
        </w:rPr>
        <w:t>期货合约和特定品种期权合约</w:t>
      </w:r>
      <w:r>
        <w:rPr>
          <w:rFonts w:ascii="仿宋" w:hAnsi="仿宋" w:eastAsia="仿宋"/>
          <w:sz w:val="32"/>
          <w:szCs w:val="22"/>
        </w:rPr>
        <w:t>交易权限，关闭其他品种交易权限；境内客户开户后，期货公司会员应先关闭其期权</w:t>
      </w:r>
      <w:r>
        <w:rPr>
          <w:rFonts w:hint="eastAsia" w:ascii="仿宋" w:hAnsi="仿宋" w:eastAsia="仿宋"/>
          <w:sz w:val="32"/>
          <w:szCs w:val="22"/>
        </w:rPr>
        <w:t>合约</w:t>
      </w:r>
      <w:r>
        <w:rPr>
          <w:rFonts w:ascii="仿宋" w:hAnsi="仿宋" w:eastAsia="仿宋"/>
          <w:sz w:val="32"/>
          <w:szCs w:val="22"/>
        </w:rPr>
        <w:t>和特定品种</w:t>
      </w:r>
      <w:r>
        <w:rPr>
          <w:rFonts w:hint="eastAsia" w:ascii="仿宋" w:hAnsi="仿宋" w:eastAsia="仿宋"/>
          <w:sz w:val="32"/>
          <w:szCs w:val="22"/>
        </w:rPr>
        <w:t>期货合约</w:t>
      </w:r>
      <w:r>
        <w:rPr>
          <w:rFonts w:ascii="仿宋" w:hAnsi="仿宋" w:eastAsia="仿宋"/>
          <w:sz w:val="32"/>
          <w:szCs w:val="22"/>
        </w:rPr>
        <w:t>的交易权限，通过适当性评估或者符合适当性评估豁免条件的，开户机构应当按照客户意愿，开通</w:t>
      </w:r>
      <w:r>
        <w:rPr>
          <w:rFonts w:hint="eastAsia" w:ascii="仿宋" w:hAnsi="仿宋" w:eastAsia="仿宋"/>
          <w:sz w:val="32"/>
          <w:szCs w:val="22"/>
        </w:rPr>
        <w:t>期权合约</w:t>
      </w:r>
      <w:r>
        <w:rPr>
          <w:rFonts w:ascii="仿宋" w:hAnsi="仿宋" w:eastAsia="仿宋"/>
          <w:sz w:val="32"/>
          <w:szCs w:val="22"/>
        </w:rPr>
        <w:t>或特定品种</w:t>
      </w:r>
      <w:r>
        <w:rPr>
          <w:rFonts w:hint="eastAsia" w:ascii="仿宋" w:hAnsi="仿宋" w:eastAsia="仿宋"/>
          <w:sz w:val="32"/>
          <w:szCs w:val="22"/>
        </w:rPr>
        <w:t>期货合约</w:t>
      </w:r>
      <w:r>
        <w:rPr>
          <w:rFonts w:ascii="仿宋" w:hAnsi="仿宋" w:eastAsia="仿宋"/>
          <w:sz w:val="32"/>
          <w:szCs w:val="22"/>
        </w:rPr>
        <w:t>的交易权限。</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（二）符合条件的客户可以向开户机构提出申请，新增或者关闭上市品种交易权限。</w:t>
      </w:r>
    </w:p>
    <w:p>
      <w:pPr>
        <w:keepNext/>
        <w:keepLines/>
        <w:spacing w:line="360" w:lineRule="auto"/>
        <w:ind w:firstLine="640" w:firstLineChars="200"/>
        <w:contextualSpacing/>
        <w:outlineLvl w:val="1"/>
        <w:rPr>
          <w:rFonts w:eastAsia="黑体"/>
          <w:bCs/>
          <w:sz w:val="32"/>
          <w:szCs w:val="32"/>
        </w:rPr>
      </w:pPr>
      <w:r>
        <w:rPr>
          <w:rFonts w:eastAsia="黑体"/>
          <w:bCs/>
          <w:sz w:val="32"/>
          <w:szCs w:val="32"/>
        </w:rPr>
        <w:t>二、基础知识要求</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单位客户的相关业务人员和个人客户本人应当具备期货交易基础知识，了解</w:t>
      </w:r>
      <w:r>
        <w:rPr>
          <w:rFonts w:hint="eastAsia" w:ascii="仿宋" w:hAnsi="仿宋" w:eastAsia="仿宋"/>
          <w:sz w:val="32"/>
          <w:szCs w:val="22"/>
        </w:rPr>
        <w:t>交易所</w:t>
      </w:r>
      <w:r>
        <w:rPr>
          <w:rFonts w:ascii="仿宋" w:hAnsi="仿宋" w:eastAsia="仿宋"/>
          <w:sz w:val="32"/>
          <w:szCs w:val="22"/>
        </w:rPr>
        <w:t>相关业务规则。开户机构可以通过下述方式了解客户知识水平</w:t>
      </w:r>
      <w:r>
        <w:rPr>
          <w:rFonts w:hint="eastAsia" w:ascii="仿宋" w:hAnsi="仿宋" w:eastAsia="仿宋"/>
          <w:sz w:val="32"/>
          <w:szCs w:val="22"/>
        </w:rPr>
        <w:t>：</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（一）知识测试。客户通过中国期货业协会的期货投资者适当性</w:t>
      </w:r>
      <w:r>
        <w:rPr>
          <w:rFonts w:hint="eastAsia" w:ascii="仿宋" w:hAnsi="仿宋" w:eastAsia="仿宋"/>
          <w:sz w:val="32"/>
          <w:szCs w:val="22"/>
        </w:rPr>
        <w:t>知识测试</w:t>
      </w:r>
      <w:r>
        <w:rPr>
          <w:rFonts w:ascii="仿宋" w:hAnsi="仿宋" w:eastAsia="仿宋"/>
          <w:sz w:val="32"/>
          <w:szCs w:val="22"/>
        </w:rPr>
        <w:t>平台进行在线知识测试，知识测试总分100分，得分80分为合格。知识测试应当由单位客户的指定下单人或者个人客户本人全程独立自主完成，不得由他人代替。</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二）承诺函。境外客户可以通过出具承诺函的方式，表明其具有《办法》所要求的知识水平，同时承担提供不实承诺的后果。承诺函应当注明境外单位客户的相关业务人员或者个人客户本人具备期货交易基础知识，了解相关业务规则。</w:t>
      </w:r>
    </w:p>
    <w:p>
      <w:pPr>
        <w:keepNext/>
        <w:keepLines/>
        <w:spacing w:line="360" w:lineRule="auto"/>
        <w:ind w:firstLine="640" w:firstLineChars="200"/>
        <w:contextualSpacing/>
        <w:outlineLvl w:val="1"/>
        <w:rPr>
          <w:rFonts w:eastAsia="仿宋_GB2312"/>
          <w:bCs/>
          <w:sz w:val="32"/>
          <w:szCs w:val="32"/>
        </w:rPr>
      </w:pPr>
      <w:r>
        <w:rPr>
          <w:rFonts w:hint="eastAsia" w:eastAsia="黑体"/>
          <w:bCs/>
          <w:sz w:val="32"/>
          <w:szCs w:val="32"/>
        </w:rPr>
        <w:t>三</w:t>
      </w:r>
      <w:r>
        <w:rPr>
          <w:rFonts w:eastAsia="黑体"/>
          <w:bCs/>
          <w:sz w:val="32"/>
          <w:szCs w:val="32"/>
        </w:rPr>
        <w:t>、交易经历要求</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w:t>
      </w:r>
      <w:r>
        <w:rPr>
          <w:rFonts w:hint="eastAsia" w:ascii="仿宋" w:hAnsi="仿宋" w:eastAsia="仿宋"/>
          <w:sz w:val="32"/>
          <w:szCs w:val="22"/>
        </w:rPr>
        <w:t>一</w:t>
      </w:r>
      <w:r>
        <w:rPr>
          <w:rFonts w:ascii="仿宋" w:hAnsi="仿宋" w:eastAsia="仿宋"/>
          <w:sz w:val="32"/>
          <w:szCs w:val="22"/>
        </w:rPr>
        <w:t>）关于仿真交易经历。客户应当提供由证券公司、期货公司等机构出具的境内交易场所联调测试系统</w:t>
      </w:r>
      <w:r>
        <w:rPr>
          <w:rFonts w:hint="eastAsia" w:ascii="仿宋" w:hAnsi="仿宋" w:eastAsia="仿宋"/>
          <w:sz w:val="32"/>
          <w:szCs w:val="22"/>
        </w:rPr>
        <w:t>、</w:t>
      </w:r>
      <w:r>
        <w:rPr>
          <w:rFonts w:ascii="仿宋" w:hAnsi="仿宋" w:eastAsia="仿宋"/>
          <w:sz w:val="32"/>
          <w:szCs w:val="22"/>
        </w:rPr>
        <w:t>仿真系统的期货</w:t>
      </w:r>
      <w:r>
        <w:rPr>
          <w:rFonts w:hint="eastAsia" w:ascii="仿宋" w:hAnsi="仿宋" w:eastAsia="仿宋"/>
          <w:sz w:val="32"/>
          <w:szCs w:val="22"/>
        </w:rPr>
        <w:t>合约</w:t>
      </w:r>
      <w:r>
        <w:rPr>
          <w:rFonts w:ascii="仿宋" w:hAnsi="仿宋" w:eastAsia="仿宋"/>
          <w:sz w:val="32"/>
          <w:szCs w:val="22"/>
        </w:rPr>
        <w:t>或者期权</w:t>
      </w:r>
      <w:r>
        <w:rPr>
          <w:rFonts w:hint="eastAsia" w:ascii="仿宋" w:hAnsi="仿宋" w:eastAsia="仿宋"/>
          <w:sz w:val="32"/>
          <w:szCs w:val="22"/>
        </w:rPr>
        <w:t>合约</w:t>
      </w:r>
      <w:r>
        <w:rPr>
          <w:rFonts w:ascii="仿宋" w:hAnsi="仿宋" w:eastAsia="仿宋"/>
          <w:sz w:val="32"/>
          <w:szCs w:val="22"/>
        </w:rPr>
        <w:t>的</w:t>
      </w:r>
      <w:r>
        <w:rPr>
          <w:rFonts w:hint="eastAsia" w:ascii="仿宋" w:hAnsi="仿宋" w:eastAsia="仿宋"/>
          <w:sz w:val="32"/>
          <w:szCs w:val="22"/>
        </w:rPr>
        <w:t>交易结算单</w:t>
      </w:r>
      <w:r>
        <w:rPr>
          <w:rFonts w:ascii="仿宋" w:hAnsi="仿宋" w:eastAsia="仿宋"/>
          <w:sz w:val="32"/>
          <w:szCs w:val="22"/>
        </w:rPr>
        <w:t>等单据</w:t>
      </w:r>
      <w:r>
        <w:rPr>
          <w:rFonts w:hint="eastAsia" w:ascii="仿宋" w:hAnsi="仿宋" w:eastAsia="仿宋"/>
          <w:sz w:val="32"/>
          <w:szCs w:val="22"/>
        </w:rPr>
        <w:t>，证明其具有</w:t>
      </w:r>
      <w:r>
        <w:rPr>
          <w:rFonts w:ascii="仿宋" w:hAnsi="仿宋" w:eastAsia="仿宋"/>
          <w:sz w:val="32"/>
          <w:szCs w:val="22"/>
        </w:rPr>
        <w:t>累计不少于10个交易日</w:t>
      </w:r>
      <w:r>
        <w:rPr>
          <w:rFonts w:hint="eastAsia" w:ascii="仿宋" w:hAnsi="仿宋" w:eastAsia="仿宋"/>
          <w:sz w:val="32"/>
          <w:szCs w:val="22"/>
        </w:rPr>
        <w:t>、合计</w:t>
      </w:r>
      <w:r>
        <w:rPr>
          <w:rFonts w:ascii="仿宋" w:hAnsi="仿宋" w:eastAsia="仿宋"/>
          <w:sz w:val="32"/>
          <w:szCs w:val="22"/>
        </w:rPr>
        <w:t>20笔以上（含20笔）的仿真交易成交记录。</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（二）关于境内交易经历。客户应当提供由证券公司、期货公司等机构出具的交易结算单等单据，证明其近三年内具有10笔以上（含10笔）的</w:t>
      </w:r>
      <w:r>
        <w:rPr>
          <w:rFonts w:hint="eastAsia" w:ascii="仿宋" w:hAnsi="仿宋" w:eastAsia="仿宋"/>
          <w:sz w:val="32"/>
          <w:szCs w:val="22"/>
        </w:rPr>
        <w:t>境内交易场所</w:t>
      </w:r>
      <w:r>
        <w:rPr>
          <w:rFonts w:ascii="仿宋" w:hAnsi="仿宋" w:eastAsia="仿宋"/>
          <w:sz w:val="32"/>
          <w:szCs w:val="22"/>
        </w:rPr>
        <w:t>期货</w:t>
      </w:r>
      <w:r>
        <w:rPr>
          <w:rFonts w:hint="eastAsia" w:ascii="仿宋" w:hAnsi="仿宋" w:eastAsia="仿宋"/>
          <w:sz w:val="32"/>
          <w:szCs w:val="22"/>
        </w:rPr>
        <w:t>合约</w:t>
      </w:r>
      <w:r>
        <w:rPr>
          <w:rFonts w:ascii="仿宋" w:hAnsi="仿宋" w:eastAsia="仿宋"/>
          <w:sz w:val="32"/>
          <w:szCs w:val="22"/>
        </w:rPr>
        <w:t>、期权</w:t>
      </w:r>
      <w:r>
        <w:rPr>
          <w:rFonts w:hint="eastAsia" w:ascii="仿宋" w:hAnsi="仿宋" w:eastAsia="仿宋"/>
          <w:sz w:val="32"/>
          <w:szCs w:val="22"/>
        </w:rPr>
        <w:t>合约</w:t>
      </w:r>
      <w:r>
        <w:rPr>
          <w:rFonts w:ascii="仿宋" w:hAnsi="仿宋" w:eastAsia="仿宋"/>
          <w:sz w:val="32"/>
          <w:szCs w:val="22"/>
        </w:rPr>
        <w:t>或者集中清算的其他衍生品交易（如掉期交易）的成交记录。</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（三）关于境外交易经历。客户应当提供在中国证监会签署</w:t>
      </w:r>
      <w:r>
        <w:rPr>
          <w:rFonts w:hint="eastAsia" w:ascii="仿宋" w:hAnsi="仿宋" w:eastAsia="仿宋"/>
          <w:sz w:val="32"/>
          <w:szCs w:val="22"/>
        </w:rPr>
        <w:t>监管</w:t>
      </w:r>
      <w:r>
        <w:rPr>
          <w:rFonts w:ascii="仿宋" w:hAnsi="仿宋" w:eastAsia="仿宋"/>
          <w:sz w:val="32"/>
          <w:szCs w:val="22"/>
        </w:rPr>
        <w:t>合作谅解备忘录的国家（地区）期货监管机构监管的境外交易场所的交易记录明细</w:t>
      </w:r>
      <w:r>
        <w:rPr>
          <w:rFonts w:hint="eastAsia" w:ascii="仿宋" w:hAnsi="仿宋" w:eastAsia="仿宋"/>
          <w:sz w:val="32"/>
          <w:szCs w:val="22"/>
        </w:rPr>
        <w:t>、</w:t>
      </w:r>
      <w:r>
        <w:rPr>
          <w:rFonts w:ascii="仿宋" w:hAnsi="仿宋" w:eastAsia="仿宋"/>
          <w:sz w:val="32"/>
          <w:szCs w:val="22"/>
        </w:rPr>
        <w:t>结算单据或者其他凭证，证明其近三年内具有10笔以上（含10笔）的期货</w:t>
      </w:r>
      <w:r>
        <w:rPr>
          <w:rFonts w:hint="eastAsia" w:ascii="仿宋" w:hAnsi="仿宋" w:eastAsia="仿宋"/>
          <w:sz w:val="32"/>
          <w:szCs w:val="22"/>
        </w:rPr>
        <w:t>合约</w:t>
      </w:r>
      <w:r>
        <w:rPr>
          <w:rFonts w:ascii="仿宋" w:hAnsi="仿宋" w:eastAsia="仿宋"/>
          <w:sz w:val="32"/>
          <w:szCs w:val="22"/>
        </w:rPr>
        <w:t>、期权</w:t>
      </w:r>
      <w:r>
        <w:rPr>
          <w:rFonts w:hint="eastAsia" w:ascii="仿宋" w:hAnsi="仿宋" w:eastAsia="仿宋"/>
          <w:sz w:val="32"/>
          <w:szCs w:val="22"/>
        </w:rPr>
        <w:t>合约</w:t>
      </w:r>
      <w:r>
        <w:rPr>
          <w:rFonts w:ascii="仿宋" w:hAnsi="仿宋" w:eastAsia="仿宋"/>
          <w:sz w:val="32"/>
          <w:szCs w:val="22"/>
        </w:rPr>
        <w:t>或者集中清算的其他衍生品交易（如掉期交易）的成交记录（以下简称认可境外成交记录）。</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（四）</w:t>
      </w:r>
      <w:r>
        <w:rPr>
          <w:rFonts w:hint="eastAsia" w:ascii="仿宋" w:hAnsi="仿宋" w:eastAsia="仿宋"/>
          <w:sz w:val="32"/>
          <w:szCs w:val="22"/>
        </w:rPr>
        <w:t>1</w:t>
      </w:r>
      <w:r>
        <w:rPr>
          <w:rFonts w:ascii="仿宋" w:hAnsi="仿宋" w:eastAsia="仿宋"/>
          <w:sz w:val="32"/>
          <w:szCs w:val="22"/>
        </w:rPr>
        <w:t>笔委托分次成交的视为</w:t>
      </w:r>
      <w:r>
        <w:rPr>
          <w:rFonts w:hint="eastAsia" w:ascii="仿宋" w:hAnsi="仿宋" w:eastAsia="仿宋"/>
          <w:sz w:val="32"/>
          <w:szCs w:val="22"/>
        </w:rPr>
        <w:t>1</w:t>
      </w:r>
      <w:r>
        <w:rPr>
          <w:rFonts w:ascii="仿宋" w:hAnsi="仿宋" w:eastAsia="仿宋"/>
          <w:sz w:val="32"/>
          <w:szCs w:val="22"/>
        </w:rPr>
        <w:t>笔成交记录。所有上述交易记录应当为实际（仿真）成交的交易记录。</w:t>
      </w:r>
    </w:p>
    <w:p>
      <w:pPr>
        <w:keepNext/>
        <w:keepLines/>
        <w:spacing w:line="360" w:lineRule="auto"/>
        <w:ind w:firstLine="640" w:firstLineChars="200"/>
        <w:contextualSpacing/>
        <w:outlineLvl w:val="1"/>
        <w:rPr>
          <w:rFonts w:eastAsia="黑体"/>
          <w:bCs/>
          <w:sz w:val="32"/>
          <w:szCs w:val="32"/>
        </w:rPr>
      </w:pPr>
      <w:r>
        <w:rPr>
          <w:rFonts w:hint="eastAsia" w:eastAsia="黑体"/>
          <w:bCs/>
          <w:sz w:val="32"/>
          <w:szCs w:val="32"/>
        </w:rPr>
        <w:t>四</w:t>
      </w:r>
      <w:r>
        <w:rPr>
          <w:rFonts w:eastAsia="黑体"/>
          <w:bCs/>
          <w:sz w:val="32"/>
          <w:szCs w:val="32"/>
        </w:rPr>
        <w:t>、可用资金</w:t>
      </w:r>
      <w:r>
        <w:rPr>
          <w:rFonts w:hint="eastAsia" w:eastAsia="黑体"/>
          <w:bCs/>
          <w:sz w:val="32"/>
          <w:szCs w:val="32"/>
        </w:rPr>
        <w:t>余额</w:t>
      </w:r>
      <w:r>
        <w:rPr>
          <w:rFonts w:eastAsia="黑体"/>
          <w:bCs/>
          <w:sz w:val="32"/>
          <w:szCs w:val="32"/>
        </w:rPr>
        <w:t>要求</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w:t>
      </w:r>
      <w:r>
        <w:rPr>
          <w:rFonts w:hint="eastAsia" w:ascii="仿宋" w:hAnsi="仿宋" w:eastAsia="仿宋"/>
          <w:sz w:val="32"/>
          <w:szCs w:val="22"/>
        </w:rPr>
        <w:t>一</w:t>
      </w:r>
      <w:r>
        <w:rPr>
          <w:rFonts w:ascii="仿宋" w:hAnsi="仿宋" w:eastAsia="仿宋"/>
          <w:sz w:val="32"/>
          <w:szCs w:val="22"/>
        </w:rPr>
        <w:t>）客户保证金账户可用资金余额以开户机构收取的保证金作为计算依据。境外客户可以使用外汇资金作为保证金。可用资金余额包括人民币资金和外汇资金。可用外币币种和外汇</w:t>
      </w:r>
      <w:r>
        <w:rPr>
          <w:rFonts w:hint="eastAsia" w:ascii="仿宋" w:hAnsi="仿宋" w:eastAsia="仿宋"/>
          <w:sz w:val="32"/>
          <w:szCs w:val="22"/>
        </w:rPr>
        <w:t>充抵折扣率</w:t>
      </w:r>
      <w:r>
        <w:rPr>
          <w:rFonts w:ascii="仿宋" w:hAnsi="仿宋" w:eastAsia="仿宋"/>
          <w:sz w:val="32"/>
          <w:szCs w:val="22"/>
        </w:rPr>
        <w:t>由交易所另行公布。</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外汇资金换算为人民币资金的公式为：</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折后（人民币）金额</w:t>
      </w:r>
      <w:r>
        <w:rPr>
          <w:rFonts w:hint="eastAsia" w:ascii="仿宋" w:hAnsi="仿宋" w:eastAsia="仿宋"/>
          <w:sz w:val="32"/>
          <w:szCs w:val="22"/>
        </w:rPr>
        <w:t>=</w:t>
      </w:r>
      <w:r>
        <w:rPr>
          <w:rFonts w:ascii="仿宋" w:hAnsi="仿宋" w:eastAsia="仿宋"/>
          <w:sz w:val="32"/>
          <w:szCs w:val="22"/>
        </w:rPr>
        <w:t>外币金额×中国外汇交易中心发布的当日外汇兑人民币汇率中间价×外汇充抵折扣率</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w:t>
      </w:r>
      <w:r>
        <w:rPr>
          <w:rFonts w:hint="eastAsia" w:ascii="仿宋" w:hAnsi="仿宋" w:eastAsia="仿宋"/>
          <w:sz w:val="32"/>
          <w:szCs w:val="22"/>
        </w:rPr>
        <w:t>二</w:t>
      </w:r>
      <w:r>
        <w:rPr>
          <w:rFonts w:ascii="仿宋" w:hAnsi="仿宋" w:eastAsia="仿宋"/>
          <w:sz w:val="32"/>
          <w:szCs w:val="22"/>
        </w:rPr>
        <w:t>）期货公司会员直接为客户申请开立交易编码或者开通交易权限的，应当确认该客户申请日前连续5个交易日每日结算后，在该期货公司会员处的保证金账户可用资金余额均不低于交易所规定的标准。</w:t>
      </w:r>
    </w:p>
    <w:p>
      <w:pPr>
        <w:spacing w:line="360" w:lineRule="auto"/>
        <w:ind w:firstLine="640" w:firstLineChars="200"/>
        <w:contextualSpacing/>
        <w:rPr>
          <w:rFonts w:ascii="仿宋" w:hAnsi="仿宋" w:eastAsia="仿宋"/>
          <w:sz w:val="32"/>
          <w:szCs w:val="22"/>
        </w:rPr>
      </w:pPr>
      <w:r>
        <w:rPr>
          <w:rFonts w:hint="eastAsia" w:ascii="仿宋" w:hAnsi="仿宋" w:eastAsia="仿宋"/>
          <w:sz w:val="32"/>
          <w:szCs w:val="22"/>
        </w:rPr>
        <w:t>境外特殊经纪参与者、</w:t>
      </w:r>
      <w:r>
        <w:rPr>
          <w:rFonts w:ascii="仿宋" w:hAnsi="仿宋" w:eastAsia="仿宋"/>
          <w:sz w:val="32"/>
          <w:szCs w:val="22"/>
        </w:rPr>
        <w:t>境外</w:t>
      </w:r>
      <w:r>
        <w:rPr>
          <w:rFonts w:hint="eastAsia" w:ascii="仿宋" w:hAnsi="仿宋" w:eastAsia="仿宋"/>
          <w:sz w:val="32"/>
          <w:szCs w:val="22"/>
          <w:lang w:eastAsia="zh-CN"/>
        </w:rPr>
        <w:t>中介</w:t>
      </w:r>
      <w:r>
        <w:rPr>
          <w:rFonts w:ascii="仿宋" w:hAnsi="仿宋" w:eastAsia="仿宋"/>
          <w:sz w:val="32"/>
          <w:szCs w:val="22"/>
        </w:rPr>
        <w:t>机构为客户申请开立交易编码或者开通交易权限的，应当确认该客户申请日前连续5个交易日，在该</w:t>
      </w:r>
      <w:r>
        <w:rPr>
          <w:rFonts w:hint="eastAsia" w:ascii="仿宋" w:hAnsi="仿宋" w:eastAsia="仿宋"/>
          <w:sz w:val="32"/>
          <w:szCs w:val="22"/>
        </w:rPr>
        <w:t>境外特殊经纪参与者</w:t>
      </w:r>
      <w:r>
        <w:rPr>
          <w:rFonts w:hint="eastAsia" w:ascii="仿宋" w:hAnsi="仿宋" w:eastAsia="仿宋"/>
          <w:sz w:val="32"/>
          <w:szCs w:val="22"/>
          <w:lang w:eastAsia="zh-CN"/>
        </w:rPr>
        <w:t>或者</w:t>
      </w:r>
      <w:r>
        <w:rPr>
          <w:rFonts w:ascii="仿宋" w:hAnsi="仿宋" w:eastAsia="仿宋"/>
          <w:sz w:val="32"/>
          <w:szCs w:val="22"/>
        </w:rPr>
        <w:t>境外</w:t>
      </w:r>
      <w:r>
        <w:rPr>
          <w:rFonts w:hint="eastAsia" w:ascii="仿宋" w:hAnsi="仿宋" w:eastAsia="仿宋"/>
          <w:sz w:val="32"/>
          <w:szCs w:val="22"/>
          <w:lang w:eastAsia="zh-CN"/>
        </w:rPr>
        <w:t>中介</w:t>
      </w:r>
      <w:r>
        <w:rPr>
          <w:rFonts w:ascii="仿宋" w:hAnsi="仿宋" w:eastAsia="仿宋"/>
          <w:sz w:val="32"/>
          <w:szCs w:val="22"/>
        </w:rPr>
        <w:t>机构处的保证金账户可用资金余额均不低于交易所规定的标准。</w:t>
      </w:r>
    </w:p>
    <w:p>
      <w:pPr>
        <w:keepNext/>
        <w:keepLines/>
        <w:spacing w:line="360" w:lineRule="auto"/>
        <w:ind w:firstLine="640" w:firstLineChars="200"/>
        <w:contextualSpacing/>
        <w:outlineLvl w:val="1"/>
        <w:rPr>
          <w:rFonts w:eastAsia="黑体"/>
          <w:bCs/>
          <w:sz w:val="32"/>
          <w:szCs w:val="32"/>
        </w:rPr>
      </w:pPr>
      <w:r>
        <w:rPr>
          <w:rFonts w:hint="eastAsia" w:eastAsia="黑体"/>
          <w:bCs/>
          <w:sz w:val="32"/>
          <w:szCs w:val="32"/>
        </w:rPr>
        <w:t>五</w:t>
      </w:r>
      <w:r>
        <w:rPr>
          <w:rFonts w:eastAsia="黑体"/>
          <w:bCs/>
          <w:sz w:val="32"/>
          <w:szCs w:val="32"/>
        </w:rPr>
        <w:t>、合规诚信要求</w:t>
      </w:r>
    </w:p>
    <w:p>
      <w:pPr>
        <w:spacing w:line="360" w:lineRule="auto"/>
        <w:ind w:firstLine="640" w:firstLineChars="200"/>
        <w:contextualSpacing/>
        <w:rPr>
          <w:rFonts w:ascii="仿宋" w:hAnsi="仿宋" w:eastAsia="仿宋"/>
          <w:sz w:val="32"/>
          <w:szCs w:val="22"/>
        </w:rPr>
      </w:pPr>
      <w:r>
        <w:rPr>
          <w:rFonts w:hint="eastAsia" w:ascii="仿宋" w:hAnsi="仿宋" w:eastAsia="仿宋"/>
          <w:sz w:val="32"/>
          <w:szCs w:val="22"/>
        </w:rPr>
        <w:t>（一）</w:t>
      </w:r>
      <w:r>
        <w:rPr>
          <w:rFonts w:ascii="仿宋" w:hAnsi="仿宋" w:eastAsia="仿宋"/>
          <w:sz w:val="32"/>
          <w:szCs w:val="22"/>
        </w:rPr>
        <w:t>开户机构应当通过多种渠道了解客户诚信信息，结合</w:t>
      </w:r>
      <w:r>
        <w:rPr>
          <w:rFonts w:hint="eastAsia" w:ascii="仿宋" w:hAnsi="仿宋" w:eastAsia="仿宋"/>
          <w:sz w:val="32"/>
          <w:szCs w:val="22"/>
        </w:rPr>
        <w:t>各个国家（地区）</w:t>
      </w:r>
      <w:r>
        <w:rPr>
          <w:rFonts w:ascii="仿宋" w:hAnsi="仿宋" w:eastAsia="仿宋"/>
          <w:sz w:val="32"/>
          <w:szCs w:val="22"/>
        </w:rPr>
        <w:t>相关征信系统，对客户的诚信状况进行综合评估。开户机构应当向客户明示有关禁止或者限制从事期货交易的规定和要求。</w:t>
      </w:r>
    </w:p>
    <w:p>
      <w:pPr>
        <w:spacing w:line="360" w:lineRule="auto"/>
        <w:ind w:firstLine="640" w:firstLineChars="200"/>
        <w:contextualSpacing/>
        <w:rPr>
          <w:rFonts w:ascii="仿宋" w:hAnsi="仿宋" w:eastAsia="仿宋"/>
          <w:sz w:val="32"/>
          <w:szCs w:val="22"/>
        </w:rPr>
      </w:pPr>
      <w:r>
        <w:rPr>
          <w:rFonts w:hint="eastAsia" w:ascii="仿宋" w:hAnsi="仿宋" w:eastAsia="仿宋"/>
          <w:sz w:val="32"/>
          <w:szCs w:val="22"/>
        </w:rPr>
        <w:t>（二）开户机构应当通过中国证监会证券期货市场失信信息公开查询平台、中国期货业协会行业信息管理平台以及涉金融严重失信人员名单等对客户诚信情况进行查询；若无法了解客户是否符合《办法》中合规诚信相关要求，开户机构还应当要求客户出具书面承诺表明其达到《办法》中合规诚信相关要求，并承担提供不实承诺的后果。</w:t>
      </w:r>
    </w:p>
    <w:p>
      <w:pPr>
        <w:keepNext/>
        <w:keepLines/>
        <w:spacing w:line="360" w:lineRule="auto"/>
        <w:ind w:firstLine="640" w:firstLineChars="200"/>
        <w:contextualSpacing/>
        <w:outlineLvl w:val="1"/>
        <w:rPr>
          <w:rFonts w:eastAsia="黑体"/>
          <w:bCs/>
          <w:sz w:val="32"/>
          <w:szCs w:val="32"/>
        </w:rPr>
      </w:pPr>
      <w:r>
        <w:rPr>
          <w:rFonts w:eastAsia="黑体"/>
          <w:bCs/>
          <w:sz w:val="32"/>
          <w:szCs w:val="32"/>
        </w:rPr>
        <w:t>六、单位客户的内部制度要求</w:t>
      </w:r>
    </w:p>
    <w:p>
      <w:pPr>
        <w:spacing w:line="360" w:lineRule="auto"/>
        <w:ind w:firstLine="640" w:firstLineChars="200"/>
        <w:contextualSpacing/>
        <w:rPr>
          <w:rFonts w:ascii="仿宋" w:hAnsi="仿宋" w:eastAsia="仿宋"/>
          <w:sz w:val="32"/>
          <w:szCs w:val="22"/>
        </w:rPr>
      </w:pPr>
      <w:r>
        <w:rPr>
          <w:rFonts w:ascii="仿宋" w:hAnsi="仿宋" w:eastAsia="仿宋"/>
          <w:sz w:val="32"/>
          <w:szCs w:val="22"/>
        </w:rPr>
        <w:t>开户机构为单位客户</w:t>
      </w:r>
      <w:r>
        <w:rPr>
          <w:rFonts w:hint="eastAsia" w:ascii="仿宋" w:hAnsi="仿宋" w:eastAsia="仿宋"/>
          <w:sz w:val="32"/>
          <w:szCs w:val="22"/>
        </w:rPr>
        <w:t>参与实行适当性制度的上市品种</w:t>
      </w:r>
      <w:r>
        <w:rPr>
          <w:rFonts w:ascii="仿宋" w:hAnsi="仿宋" w:eastAsia="仿宋"/>
          <w:sz w:val="32"/>
          <w:szCs w:val="22"/>
        </w:rPr>
        <w:t>申请开立交易编码或者开通交易权限的，应当确认单位客户具有健全的内部控制、风险管理等期货交易管理相关制度</w:t>
      </w:r>
      <w:r>
        <w:rPr>
          <w:rFonts w:hint="eastAsia" w:ascii="仿宋" w:hAnsi="仿宋" w:eastAsia="仿宋"/>
          <w:sz w:val="32"/>
          <w:szCs w:val="22"/>
        </w:rPr>
        <w:t>，</w:t>
      </w:r>
      <w:r>
        <w:rPr>
          <w:rFonts w:ascii="仿宋" w:hAnsi="仿宋" w:eastAsia="仿宋"/>
          <w:sz w:val="32"/>
          <w:szCs w:val="22"/>
        </w:rPr>
        <w:t>如期货交易决策、期货交易下单、资金划拨、实物交割、风险管理等业务制度或者流程。</w:t>
      </w:r>
    </w:p>
    <w:p>
      <w:pPr>
        <w:keepNext/>
        <w:keepLines/>
        <w:spacing w:line="360" w:lineRule="auto"/>
        <w:ind w:firstLine="640" w:firstLineChars="200"/>
        <w:contextualSpacing/>
        <w:outlineLvl w:val="1"/>
        <w:rPr>
          <w:rFonts w:eastAsia="黑体"/>
          <w:bCs/>
          <w:sz w:val="32"/>
          <w:szCs w:val="32"/>
        </w:rPr>
      </w:pPr>
      <w:r>
        <w:rPr>
          <w:rFonts w:eastAsia="黑体"/>
          <w:bCs/>
          <w:sz w:val="32"/>
          <w:szCs w:val="32"/>
        </w:rPr>
        <w:t>七、</w:t>
      </w:r>
      <w:r>
        <w:rPr>
          <w:rFonts w:hint="eastAsia" w:eastAsia="黑体"/>
          <w:bCs/>
          <w:sz w:val="32"/>
          <w:szCs w:val="32"/>
        </w:rPr>
        <w:t>适当性评估豁免情形</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（一）开户机构对下述情形的客户进行适当性评估时，可以不再对其基础知识、交易经历</w:t>
      </w:r>
      <w:r>
        <w:rPr>
          <w:rFonts w:hint="eastAsia" w:ascii="仿宋" w:hAnsi="仿宋" w:eastAsia="仿宋"/>
          <w:sz w:val="32"/>
          <w:szCs w:val="32"/>
        </w:rPr>
        <w:t>和可用资金余额</w:t>
      </w:r>
      <w:r>
        <w:rPr>
          <w:rFonts w:ascii="仿宋" w:hAnsi="仿宋" w:eastAsia="仿宋"/>
          <w:sz w:val="32"/>
          <w:szCs w:val="32"/>
        </w:rPr>
        <w:t>进行评估</w:t>
      </w:r>
      <w:r>
        <w:rPr>
          <w:rFonts w:hint="eastAsia" w:ascii="仿宋" w:hAnsi="仿宋" w:eastAsia="仿宋"/>
          <w:sz w:val="32"/>
          <w:szCs w:val="32"/>
        </w:rPr>
        <w:t>：</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已具有境内商品期货交易所实行适当性制度的上市品种交易权限的客户；</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.已具有金融期货交易编码的客户</w:t>
      </w:r>
      <w:r>
        <w:rPr>
          <w:rFonts w:hint="eastAsia" w:ascii="仿宋" w:hAnsi="仿宋" w:eastAsia="仿宋"/>
          <w:sz w:val="32"/>
          <w:szCs w:val="32"/>
        </w:rPr>
        <w:t>；</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已具有境内证券交易所期权交易权限的客户</w:t>
      </w:r>
      <w:r>
        <w:rPr>
          <w:rFonts w:hint="eastAsia" w:ascii="仿宋" w:hAnsi="仿宋" w:eastAsia="仿宋"/>
          <w:sz w:val="32"/>
          <w:szCs w:val="32"/>
        </w:rPr>
        <w:t>。</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客户应当提供具有上述交易权限的证明材料。</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开户机构应当充分使用已了解信息和已有评估结果。已通过适当性评估获得交易所某上市品种交易权限的客户，在该开户机构自动获得交易所其他实行适当性制度的上市品种交易权限</w:t>
      </w:r>
      <w:r>
        <w:rPr>
          <w:rFonts w:ascii="仿宋" w:hAnsi="仿宋" w:eastAsia="仿宋"/>
          <w:sz w:val="32"/>
          <w:szCs w:val="32"/>
        </w:rPr>
        <w:t>。</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（三）开户机构为以下客户参与交易实行适当性制度的上市品种申请开立交易编码或者开通交易权限的，可以不对其基础知识、交易经历、可用资金</w:t>
      </w:r>
      <w:r>
        <w:rPr>
          <w:rFonts w:hint="eastAsia" w:ascii="仿宋" w:hAnsi="仿宋" w:eastAsia="仿宋"/>
          <w:sz w:val="32"/>
          <w:szCs w:val="32"/>
        </w:rPr>
        <w:t>余额</w:t>
      </w:r>
      <w:r>
        <w:rPr>
          <w:rFonts w:ascii="仿宋" w:hAnsi="仿宋" w:eastAsia="仿宋"/>
          <w:sz w:val="32"/>
          <w:szCs w:val="32"/>
        </w:rPr>
        <w:t>进行评估：</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符合《证券期货投资者适当性管理办法》规定的专业投资者；</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已开通实行适当性制度的某一品种交易权限的，再通过其他开户机构开通该品种交易权限的客户</w:t>
      </w:r>
      <w:r>
        <w:rPr>
          <w:rFonts w:hint="eastAsia" w:ascii="仿宋" w:hAnsi="仿宋" w:eastAsia="仿宋"/>
          <w:sz w:val="32"/>
          <w:szCs w:val="32"/>
        </w:rPr>
        <w:t>。</w:t>
      </w:r>
      <w:r>
        <w:rPr>
          <w:rFonts w:ascii="仿宋" w:hAnsi="仿宋" w:eastAsia="仿宋"/>
          <w:sz w:val="32"/>
          <w:szCs w:val="32"/>
        </w:rPr>
        <w:t>客户应当提供具有</w:t>
      </w:r>
      <w:r>
        <w:rPr>
          <w:rFonts w:hint="eastAsia" w:ascii="仿宋" w:hAnsi="仿宋" w:eastAsia="仿宋"/>
          <w:sz w:val="32"/>
          <w:szCs w:val="32"/>
        </w:rPr>
        <w:t>该</w:t>
      </w:r>
      <w:r>
        <w:rPr>
          <w:rFonts w:ascii="仿宋" w:hAnsi="仿宋" w:eastAsia="仿宋"/>
          <w:sz w:val="32"/>
          <w:szCs w:val="32"/>
        </w:rPr>
        <w:t>交易权限的证明材料</w:t>
      </w:r>
      <w:r>
        <w:rPr>
          <w:rFonts w:hint="eastAsia" w:ascii="仿宋" w:hAnsi="仿宋" w:eastAsia="仿宋"/>
          <w:sz w:val="32"/>
          <w:szCs w:val="32"/>
        </w:rPr>
        <w:t>；</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近一年内具有累计不少于50个交易日境内交易场所的期货合约、期权合约或者集中清算的其他衍生品交易成交记录或者认可境外成交记录。客户应当提供交易记录明细</w:t>
      </w:r>
      <w:r>
        <w:rPr>
          <w:rFonts w:hint="eastAsia" w:ascii="仿宋" w:hAnsi="仿宋" w:eastAsia="仿宋"/>
          <w:sz w:val="32"/>
          <w:szCs w:val="32"/>
        </w:rPr>
        <w:t>、</w:t>
      </w:r>
      <w:r>
        <w:rPr>
          <w:rFonts w:ascii="仿宋" w:hAnsi="仿宋" w:eastAsia="仿宋"/>
          <w:sz w:val="32"/>
          <w:szCs w:val="32"/>
        </w:rPr>
        <w:t>结算单据或者其他凭证</w:t>
      </w:r>
      <w:r>
        <w:rPr>
          <w:rFonts w:hint="eastAsia" w:ascii="仿宋" w:hAnsi="仿宋" w:eastAsia="仿宋"/>
          <w:sz w:val="32"/>
          <w:szCs w:val="32"/>
        </w:rPr>
        <w:t>；</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做市商、特殊单位客户等</w:t>
      </w:r>
      <w:r>
        <w:rPr>
          <w:rFonts w:hint="eastAsia" w:ascii="仿宋" w:hAnsi="仿宋" w:eastAsia="仿宋"/>
          <w:sz w:val="32"/>
          <w:szCs w:val="32"/>
        </w:rPr>
        <w:t>交易所</w:t>
      </w:r>
      <w:r>
        <w:rPr>
          <w:rFonts w:ascii="仿宋" w:hAnsi="仿宋" w:eastAsia="仿宋"/>
          <w:sz w:val="32"/>
          <w:szCs w:val="32"/>
        </w:rPr>
        <w:t>认可的其他交易者。特殊单位客户是指期货公司、证券公司、基金管理公司、信托公司和其他金融机构，以及社会保障类公司、合格境外机构投资者等法律、行政法规和规章规定的需要资产分户管理的单位客户。</w:t>
      </w:r>
    </w:p>
    <w:p>
      <w:pPr>
        <w:keepNext/>
        <w:keepLines/>
        <w:spacing w:line="360" w:lineRule="auto"/>
        <w:ind w:firstLine="640" w:firstLineChars="200"/>
        <w:contextualSpacing/>
        <w:outlineLvl w:val="1"/>
        <w:rPr>
          <w:rFonts w:ascii="黑体" w:hAnsi="黑体" w:eastAsia="黑体"/>
          <w:bCs/>
          <w:sz w:val="32"/>
          <w:szCs w:val="32"/>
        </w:rPr>
      </w:pPr>
      <w:r>
        <w:rPr>
          <w:rFonts w:ascii="黑体" w:hAnsi="黑体" w:eastAsia="黑体"/>
          <w:bCs/>
          <w:sz w:val="32"/>
          <w:szCs w:val="32"/>
        </w:rPr>
        <w:t>八、</w:t>
      </w:r>
      <w:r>
        <w:rPr>
          <w:rFonts w:hint="eastAsia" w:ascii="黑体" w:hAnsi="黑体" w:eastAsia="黑体"/>
          <w:bCs/>
          <w:sz w:val="32"/>
          <w:szCs w:val="32"/>
        </w:rPr>
        <w:t>其他</w:t>
      </w:r>
      <w:r>
        <w:rPr>
          <w:rFonts w:ascii="黑体" w:hAnsi="黑体" w:eastAsia="黑体"/>
          <w:bCs/>
          <w:sz w:val="32"/>
          <w:szCs w:val="32"/>
        </w:rPr>
        <w:t>要求</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（一）交易编码申请材料的要求适用于交易权限申请材料。开户机构应当将客户符合适当性制度要求的基础知识、交易经历、可用资金</w:t>
      </w:r>
      <w:r>
        <w:rPr>
          <w:rFonts w:hint="eastAsia" w:ascii="仿宋" w:hAnsi="仿宋" w:eastAsia="仿宋"/>
          <w:sz w:val="32"/>
          <w:szCs w:val="32"/>
        </w:rPr>
        <w:t>余额</w:t>
      </w:r>
      <w:r>
        <w:rPr>
          <w:rFonts w:ascii="仿宋" w:hAnsi="仿宋" w:eastAsia="仿宋"/>
          <w:sz w:val="32"/>
          <w:szCs w:val="32"/>
        </w:rPr>
        <w:t>、合规诚信等</w:t>
      </w:r>
      <w:r>
        <w:rPr>
          <w:rFonts w:hint="eastAsia" w:ascii="仿宋" w:hAnsi="仿宋" w:eastAsia="仿宋"/>
          <w:sz w:val="32"/>
          <w:szCs w:val="32"/>
        </w:rPr>
        <w:t>相关</w:t>
      </w:r>
      <w:r>
        <w:rPr>
          <w:rFonts w:ascii="仿宋" w:hAnsi="仿宋" w:eastAsia="仿宋"/>
          <w:sz w:val="32"/>
          <w:szCs w:val="32"/>
        </w:rPr>
        <w:t>证明材料及交易权限申请等相关材料作为开户资料予以保存。保存时间应当符合当地法律法规规定，除依法接受调查和检查外，应当为客户保密。</w:t>
      </w:r>
      <w:r>
        <w:rPr>
          <w:rFonts w:hint="eastAsia" w:ascii="仿宋" w:hAnsi="仿宋" w:eastAsia="仿宋"/>
          <w:sz w:val="32"/>
          <w:szCs w:val="32"/>
        </w:rPr>
        <w:t>客户不得进行虚假性、误导性或者遗漏重要事实的申报、陈述、解释或者说明。</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（二）客户开通</w:t>
      </w:r>
      <w:r>
        <w:rPr>
          <w:rFonts w:hint="eastAsia" w:ascii="仿宋" w:hAnsi="仿宋" w:eastAsia="仿宋"/>
          <w:sz w:val="32"/>
          <w:szCs w:val="32"/>
        </w:rPr>
        <w:t>期权合约或</w:t>
      </w:r>
      <w:r>
        <w:rPr>
          <w:rFonts w:ascii="仿宋" w:hAnsi="仿宋" w:eastAsia="仿宋"/>
          <w:sz w:val="32"/>
          <w:szCs w:val="32"/>
        </w:rPr>
        <w:t>特定品种期货</w:t>
      </w:r>
      <w:r>
        <w:rPr>
          <w:rFonts w:hint="eastAsia" w:ascii="仿宋" w:hAnsi="仿宋" w:eastAsia="仿宋"/>
          <w:sz w:val="32"/>
          <w:szCs w:val="32"/>
        </w:rPr>
        <w:t>合约</w:t>
      </w:r>
      <w:r>
        <w:rPr>
          <w:rFonts w:ascii="仿宋" w:hAnsi="仿宋" w:eastAsia="仿宋"/>
          <w:sz w:val="32"/>
          <w:szCs w:val="32"/>
        </w:rPr>
        <w:t>交易权限后3个交易日内，开户机构应当按规定向</w:t>
      </w:r>
      <w:r>
        <w:rPr>
          <w:rFonts w:hint="eastAsia" w:ascii="仿宋" w:hAnsi="仿宋" w:eastAsia="仿宋"/>
          <w:sz w:val="32"/>
          <w:szCs w:val="32"/>
        </w:rPr>
        <w:t>交易所</w:t>
      </w:r>
      <w:r>
        <w:rPr>
          <w:rFonts w:ascii="仿宋" w:hAnsi="仿宋" w:eastAsia="仿宋"/>
          <w:sz w:val="32"/>
          <w:szCs w:val="32"/>
        </w:rPr>
        <w:t>报备开通交易权限的交易编码。</w:t>
      </w:r>
      <w:r>
        <w:rPr>
          <w:rFonts w:hint="eastAsia" w:ascii="仿宋" w:hAnsi="仿宋" w:eastAsia="仿宋" w:cs="宋体"/>
          <w:color w:val="000000"/>
          <w:kern w:val="0"/>
          <w:sz w:val="32"/>
          <w:szCs w:val="32"/>
        </w:rPr>
        <w:t>因客户销户或者不再符合适当性要求而关闭相关交易权限的，开户机构应当在</w:t>
      </w:r>
      <w:r>
        <w:rPr>
          <w:rFonts w:ascii="仿宋" w:hAnsi="仿宋" w:eastAsia="仿宋" w:cs="宋体"/>
          <w:color w:val="000000"/>
          <w:kern w:val="0"/>
          <w:sz w:val="32"/>
          <w:szCs w:val="32"/>
        </w:rPr>
        <w:t>3个交易日内撤销报备。</w:t>
      </w:r>
    </w:p>
    <w:p>
      <w:pPr>
        <w:spacing w:line="360" w:lineRule="auto"/>
        <w:ind w:firstLine="640" w:firstLineChars="200"/>
        <w:contextualSpacing/>
        <w:rPr>
          <w:rFonts w:ascii="仿宋" w:hAnsi="仿宋" w:eastAsia="仿宋" w:cs="宋体"/>
          <w:color w:val="000000"/>
          <w:kern w:val="0"/>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ascii="仿宋" w:hAnsi="仿宋" w:eastAsia="仿宋" w:cs="宋体"/>
          <w:color w:val="000000"/>
          <w:kern w:val="0"/>
          <w:sz w:val="32"/>
          <w:szCs w:val="32"/>
        </w:rPr>
        <w:t>开户机构已有资料能够显示客户具有相关成交记录的，可以豁免客户提供相关证明材料。</w:t>
      </w:r>
    </w:p>
    <w:p>
      <w:pPr>
        <w:spacing w:line="360" w:lineRule="auto"/>
        <w:ind w:firstLine="640" w:firstLineChars="200"/>
        <w:contextualSpacing/>
        <w:rPr>
          <w:rFonts w:ascii="仿宋" w:hAnsi="仿宋" w:eastAsia="仿宋"/>
          <w:sz w:val="32"/>
          <w:szCs w:val="32"/>
        </w:rPr>
      </w:pPr>
      <w:r>
        <w:rPr>
          <w:rFonts w:hint="eastAsia" w:ascii="仿宋" w:hAnsi="仿宋" w:eastAsia="仿宋" w:cs="宋体"/>
          <w:color w:val="000000"/>
          <w:kern w:val="0"/>
          <w:sz w:val="32"/>
          <w:szCs w:val="32"/>
        </w:rPr>
        <w:t>（四）</w:t>
      </w:r>
      <w:r>
        <w:rPr>
          <w:rFonts w:ascii="仿宋" w:hAnsi="仿宋" w:eastAsia="仿宋"/>
          <w:sz w:val="32"/>
          <w:szCs w:val="32"/>
        </w:rPr>
        <w:t>客户向开户机构提出开具交易经历、交易权限等证明材料，开户机构应当根据实际情况出具相关证明。</w:t>
      </w:r>
    </w:p>
    <w:p>
      <w:pPr>
        <w:keepNext/>
        <w:keepLines/>
        <w:spacing w:line="360" w:lineRule="auto"/>
        <w:ind w:firstLine="640" w:firstLineChars="200"/>
        <w:contextualSpacing/>
        <w:outlineLvl w:val="1"/>
        <w:rPr>
          <w:rFonts w:ascii="黑体" w:hAnsi="黑体" w:eastAsia="黑体"/>
          <w:bCs/>
          <w:sz w:val="32"/>
          <w:szCs w:val="32"/>
        </w:rPr>
      </w:pPr>
      <w:r>
        <w:rPr>
          <w:rFonts w:ascii="黑体" w:hAnsi="黑体" w:eastAsia="黑体"/>
          <w:bCs/>
          <w:sz w:val="32"/>
          <w:szCs w:val="32"/>
        </w:rPr>
        <w:t>九、附则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rPr>
      </w:pPr>
      <w:r>
        <w:rPr>
          <w:rFonts w:ascii="仿宋" w:hAnsi="仿宋" w:eastAsia="仿宋"/>
          <w:sz w:val="32"/>
          <w:szCs w:val="32"/>
        </w:rPr>
        <w:t>本指引由郑州商品交易所负责解释。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95FBBF8"/>
    <w:rsid w:val="2F5FCED3"/>
    <w:rsid w:val="2FD74C4D"/>
    <w:rsid w:val="34CDE329"/>
    <w:rsid w:val="367C35B1"/>
    <w:rsid w:val="3D5FDCED"/>
    <w:rsid w:val="3EB93573"/>
    <w:rsid w:val="3EE426FC"/>
    <w:rsid w:val="3EFB3335"/>
    <w:rsid w:val="3F7B8B09"/>
    <w:rsid w:val="3FFB0094"/>
    <w:rsid w:val="4B8F7ABA"/>
    <w:rsid w:val="4FF3B003"/>
    <w:rsid w:val="50AF9B1E"/>
    <w:rsid w:val="57674CFE"/>
    <w:rsid w:val="5AE6E2DE"/>
    <w:rsid w:val="5B375FAB"/>
    <w:rsid w:val="5EE3F804"/>
    <w:rsid w:val="5EFD4BF4"/>
    <w:rsid w:val="5EFFA35B"/>
    <w:rsid w:val="61D54110"/>
    <w:rsid w:val="67FD1541"/>
    <w:rsid w:val="6953B0D5"/>
    <w:rsid w:val="6BDB2E53"/>
    <w:rsid w:val="6BFBE8EF"/>
    <w:rsid w:val="6FFF6098"/>
    <w:rsid w:val="75FC3FF5"/>
    <w:rsid w:val="766F196C"/>
    <w:rsid w:val="77FD5725"/>
    <w:rsid w:val="78031D0F"/>
    <w:rsid w:val="7AD04B56"/>
    <w:rsid w:val="7AFDE478"/>
    <w:rsid w:val="7BF79739"/>
    <w:rsid w:val="7EBF5111"/>
    <w:rsid w:val="7F3A3CB6"/>
    <w:rsid w:val="7F7FDD78"/>
    <w:rsid w:val="7FBDB638"/>
    <w:rsid w:val="7FBF2CF7"/>
    <w:rsid w:val="7FCE0796"/>
    <w:rsid w:val="7FD73A8D"/>
    <w:rsid w:val="7FE7F173"/>
    <w:rsid w:val="7FFF7465"/>
    <w:rsid w:val="9E461C56"/>
    <w:rsid w:val="9FEDA02E"/>
    <w:rsid w:val="ABFDEDD9"/>
    <w:rsid w:val="ABFF91FC"/>
    <w:rsid w:val="AF7B35EC"/>
    <w:rsid w:val="B77FB632"/>
    <w:rsid w:val="B7FBA5C5"/>
    <w:rsid w:val="BD9B638D"/>
    <w:rsid w:val="BFBF8027"/>
    <w:rsid w:val="BFFDF8C1"/>
    <w:rsid w:val="D17F7A0D"/>
    <w:rsid w:val="DBFF5672"/>
    <w:rsid w:val="DEFF3355"/>
    <w:rsid w:val="DFB7E3C1"/>
    <w:rsid w:val="DFBE0378"/>
    <w:rsid w:val="E6F6F04A"/>
    <w:rsid w:val="EDA9416B"/>
    <w:rsid w:val="EFAE91C3"/>
    <w:rsid w:val="EFBA4810"/>
    <w:rsid w:val="EFCF934F"/>
    <w:rsid w:val="F74FD18E"/>
    <w:rsid w:val="F7DF8A6E"/>
    <w:rsid w:val="F7FF3877"/>
    <w:rsid w:val="FB29D893"/>
    <w:rsid w:val="FBB9CC03"/>
    <w:rsid w:val="FDE77929"/>
    <w:rsid w:val="FEFFEAA0"/>
    <w:rsid w:val="FF770685"/>
    <w:rsid w:val="FFBBA0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2019-09-19T22:10:00Z</dcterms:created>
  <dc:creator>CN=李小鹏/OU=办公室/O=CZCE</dc:creator>
  <cp:lastModifiedBy>王新宇</cp:lastModifiedBy>
  <cp:lastPrinted>2026-05-06T15:04:00Z</cp:lastPrinted>
  <dcterms:modified xsi:type="dcterms:W3CDTF">2026-05-07T16:50:17Z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982EEED458879C9EAAAAF2698B51D695_42</vt:lpwstr>
  </property>
</Properties>
</file>