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7A" w:rsidRDefault="0074307A" w:rsidP="0074307A">
      <w:pPr>
        <w:rPr>
          <w:rFonts w:ascii="仿宋_GB2312" w:eastAsia="仿宋_GB2312" w:hAnsi="仿宋_GB2312" w:cs="仿宋_GB2312"/>
          <w:sz w:val="32"/>
          <w:szCs w:val="32"/>
        </w:rPr>
      </w:pPr>
      <w:r w:rsidRPr="00C61288">
        <w:rPr>
          <w:rFonts w:ascii="黑体" w:eastAsia="黑体" w:hAnsi="黑体" w:cs="仿宋_GB2312" w:hint="eastAsia"/>
          <w:sz w:val="32"/>
          <w:szCs w:val="32"/>
        </w:rPr>
        <w:t>附件</w:t>
      </w:r>
      <w:r>
        <w:rPr>
          <w:rFonts w:ascii="仿宋_GB2312" w:eastAsia="仿宋_GB2312" w:hAnsi="仿宋_GB2312" w:cs="仿宋_GB2312" w:hint="eastAsia"/>
          <w:sz w:val="32"/>
          <w:szCs w:val="32"/>
        </w:rPr>
        <w:t>2</w:t>
      </w:r>
    </w:p>
    <w:p w:rsidR="0074307A" w:rsidRDefault="0074307A" w:rsidP="0074307A">
      <w:pPr>
        <w:jc w:val="center"/>
        <w:rPr>
          <w:rFonts w:ascii="宋体" w:eastAsia="宋体" w:hAnsi="宋体" w:cs="等线 Light"/>
          <w:b/>
          <w:bCs/>
          <w:sz w:val="44"/>
          <w:szCs w:val="44"/>
        </w:rPr>
      </w:pPr>
      <w:r w:rsidRPr="006A733E">
        <w:rPr>
          <w:rFonts w:ascii="宋体" w:eastAsia="宋体" w:hAnsi="宋体" w:cs="等线 Light" w:hint="eastAsia"/>
          <w:b/>
          <w:bCs/>
          <w:sz w:val="44"/>
          <w:szCs w:val="44"/>
        </w:rPr>
        <w:t>《大连商品交易所聚氯乙烯期货业务细则》</w:t>
      </w:r>
    </w:p>
    <w:p w:rsidR="0074307A" w:rsidRPr="006A733E" w:rsidRDefault="0074307A" w:rsidP="0074307A">
      <w:pPr>
        <w:jc w:val="center"/>
        <w:rPr>
          <w:rFonts w:ascii="宋体" w:eastAsia="宋体" w:hAnsi="宋体" w:cs="等线 Light"/>
          <w:b/>
          <w:bCs/>
          <w:sz w:val="44"/>
          <w:szCs w:val="44"/>
        </w:rPr>
      </w:pPr>
      <w:r w:rsidRPr="006A733E">
        <w:rPr>
          <w:rFonts w:ascii="宋体" w:eastAsia="宋体" w:hAnsi="宋体" w:cs="等线 Light" w:hint="eastAsia"/>
          <w:b/>
          <w:bCs/>
          <w:sz w:val="44"/>
          <w:szCs w:val="44"/>
        </w:rPr>
        <w:t>修改对照表</w:t>
      </w:r>
    </w:p>
    <w:p w:rsidR="0074307A" w:rsidRDefault="0074307A" w:rsidP="0074307A">
      <w:pPr>
        <w:adjustRightInd w:val="0"/>
        <w:snapToGrid w:val="0"/>
        <w:spacing w:beforeLines="50" w:before="156" w:afterLines="50" w:after="156"/>
        <w:jc w:val="center"/>
        <w:rPr>
          <w:rFonts w:ascii="宋体" w:eastAsia="宋体" w:hAnsi="宋体" w:cs="宋体"/>
          <w:kern w:val="0"/>
          <w:sz w:val="24"/>
        </w:rPr>
      </w:pPr>
      <w:r>
        <w:rPr>
          <w:rFonts w:ascii="宋体" w:eastAsia="宋体" w:hAnsi="宋体" w:cs="宋体" w:hint="eastAsia"/>
          <w:sz w:val="24"/>
          <w:shd w:val="clear" w:color="auto" w:fill="FFFFFF"/>
        </w:rPr>
        <w:t>（</w:t>
      </w:r>
      <w:r>
        <w:rPr>
          <w:rFonts w:ascii="Times New Roman" w:eastAsia="仿宋_GB2312" w:hAnsi="Times New Roman"/>
          <w:kern w:val="0"/>
          <w:sz w:val="24"/>
        </w:rPr>
        <w:t>注：阴影部分为新增内容。</w:t>
      </w:r>
      <w:r>
        <w:rPr>
          <w:rFonts w:ascii="宋体" w:eastAsia="宋体" w:hAnsi="宋体" w:cs="宋体" w:hint="eastAsia"/>
          <w:kern w:val="0"/>
          <w:sz w:val="24"/>
        </w:rPr>
        <w:t>）</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4"/>
        <w:gridCol w:w="5166"/>
      </w:tblGrid>
      <w:tr w:rsidR="0074307A" w:rsidRPr="006A733E" w:rsidTr="00A57C4B">
        <w:trPr>
          <w:jc w:val="center"/>
        </w:trPr>
        <w:tc>
          <w:tcPr>
            <w:tcW w:w="5144" w:type="dxa"/>
            <w:shd w:val="clear" w:color="auto" w:fill="auto"/>
          </w:tcPr>
          <w:p w:rsidR="0074307A" w:rsidRPr="006A733E" w:rsidRDefault="0074307A" w:rsidP="00A57C4B">
            <w:pPr>
              <w:jc w:val="center"/>
              <w:rPr>
                <w:rFonts w:ascii="仿宋_GB2312" w:eastAsia="仿宋_GB2312" w:hAnsi="宋体"/>
                <w:b/>
                <w:bCs/>
                <w:kern w:val="0"/>
                <w:sz w:val="28"/>
                <w:szCs w:val="28"/>
              </w:rPr>
            </w:pPr>
            <w:r w:rsidRPr="006A733E">
              <w:rPr>
                <w:rFonts w:ascii="仿宋_GB2312" w:eastAsia="仿宋_GB2312" w:hAnsi="宋体" w:hint="eastAsia"/>
                <w:b/>
                <w:bCs/>
                <w:kern w:val="0"/>
                <w:sz w:val="28"/>
                <w:szCs w:val="28"/>
              </w:rPr>
              <w:t>原条文</w:t>
            </w:r>
          </w:p>
        </w:tc>
        <w:tc>
          <w:tcPr>
            <w:tcW w:w="5166" w:type="dxa"/>
            <w:shd w:val="clear" w:color="auto" w:fill="auto"/>
          </w:tcPr>
          <w:p w:rsidR="0074307A" w:rsidRPr="006A733E" w:rsidRDefault="0074307A" w:rsidP="00A57C4B">
            <w:pPr>
              <w:jc w:val="center"/>
              <w:rPr>
                <w:rFonts w:ascii="仿宋_GB2312" w:eastAsia="仿宋_GB2312" w:hAnsi="宋体"/>
                <w:b/>
                <w:bCs/>
                <w:kern w:val="0"/>
                <w:sz w:val="28"/>
                <w:szCs w:val="28"/>
              </w:rPr>
            </w:pPr>
            <w:r w:rsidRPr="006A733E">
              <w:rPr>
                <w:rFonts w:ascii="仿宋_GB2312" w:eastAsia="仿宋_GB2312" w:hAnsi="宋体" w:hint="eastAsia"/>
                <w:b/>
                <w:bCs/>
                <w:kern w:val="0"/>
                <w:sz w:val="28"/>
                <w:szCs w:val="28"/>
              </w:rPr>
              <w:t>修改后条文</w:t>
            </w:r>
          </w:p>
        </w:tc>
      </w:tr>
      <w:tr w:rsidR="0074307A" w:rsidRPr="006A733E" w:rsidTr="00A57C4B">
        <w:trPr>
          <w:jc w:val="center"/>
        </w:trPr>
        <w:tc>
          <w:tcPr>
            <w:tcW w:w="5144" w:type="dxa"/>
            <w:shd w:val="clear" w:color="auto" w:fill="auto"/>
          </w:tcPr>
          <w:p w:rsidR="0074307A" w:rsidRPr="006A733E" w:rsidRDefault="0074307A" w:rsidP="00A57C4B">
            <w:pPr>
              <w:adjustRightInd w:val="0"/>
              <w:snapToGrid w:val="0"/>
              <w:spacing w:line="300" w:lineRule="auto"/>
              <w:ind w:firstLineChars="200" w:firstLine="560"/>
              <w:rPr>
                <w:rFonts w:ascii="仿宋_GB2312" w:eastAsia="仿宋_GB2312" w:hAnsi="Times New Roman"/>
                <w:kern w:val="0"/>
                <w:sz w:val="28"/>
                <w:szCs w:val="28"/>
              </w:rPr>
            </w:pPr>
            <w:r w:rsidRPr="006A733E">
              <w:rPr>
                <w:rFonts w:ascii="仿宋_GB2312" w:eastAsia="仿宋_GB2312" w:hAnsi="仿宋_GB2312" w:cs="仿宋_GB2312" w:hint="eastAsia"/>
                <w:kern w:val="0"/>
                <w:sz w:val="28"/>
                <w:szCs w:val="28"/>
                <w:shd w:val="clear" w:color="auto" w:fill="FFFFFF"/>
                <w:lang w:bidi="ar"/>
              </w:rPr>
              <w:t>第六条 聚氯乙烯指定交割仓库分为基准交割仓库和非基准交割仓库（详见附件《大连商品交易所聚氯乙烯指定交割仓库名录》），交易所可视情况对聚氯乙烯指定交割仓库进行调整。</w:t>
            </w:r>
          </w:p>
        </w:tc>
        <w:tc>
          <w:tcPr>
            <w:tcW w:w="5166" w:type="dxa"/>
            <w:shd w:val="clear" w:color="auto" w:fill="auto"/>
          </w:tcPr>
          <w:p w:rsidR="0074307A" w:rsidRPr="006A733E" w:rsidRDefault="0074307A" w:rsidP="00A57C4B">
            <w:pPr>
              <w:pStyle w:val="a7"/>
              <w:widowControl/>
              <w:shd w:val="clear" w:color="auto" w:fill="FFFFFF"/>
              <w:adjustRightInd w:val="0"/>
              <w:snapToGrid w:val="0"/>
              <w:spacing w:beforeAutospacing="0" w:afterAutospacing="0" w:line="300" w:lineRule="auto"/>
              <w:ind w:firstLineChars="200" w:firstLine="560"/>
              <w:jc w:val="both"/>
              <w:rPr>
                <w:rFonts w:ascii="仿宋_GB2312" w:eastAsia="仿宋_GB2312" w:hAnsi="仿宋_GB2312" w:cs="仿宋_GB2312"/>
                <w:sz w:val="28"/>
                <w:szCs w:val="28"/>
                <w:shd w:val="clear" w:color="auto" w:fill="FFFFFF"/>
              </w:rPr>
            </w:pPr>
            <w:r w:rsidRPr="006A733E">
              <w:rPr>
                <w:rFonts w:ascii="仿宋_GB2312" w:eastAsia="仿宋_GB2312" w:hAnsi="仿宋_GB2312" w:cs="仿宋_GB2312" w:hint="eastAsia"/>
                <w:sz w:val="28"/>
                <w:szCs w:val="28"/>
                <w:shd w:val="clear" w:color="auto" w:fill="FFFFFF"/>
                <w:lang w:bidi="ar"/>
              </w:rPr>
              <w:t>第六条 聚氯乙烯指定交割仓库分为基准交割仓库和非基准交割仓库（详见附件《大连商品交易所聚氯乙烯指定交割仓库名录》），交易所可视情况对聚氯乙烯指定交割仓库进行调整。</w:t>
            </w:r>
          </w:p>
          <w:p w:rsidR="0074307A" w:rsidRPr="006A733E" w:rsidRDefault="0074307A" w:rsidP="00A57C4B">
            <w:pPr>
              <w:pStyle w:val="a7"/>
              <w:widowControl/>
              <w:shd w:val="clear" w:color="auto" w:fill="FFFFFF"/>
              <w:adjustRightInd w:val="0"/>
              <w:snapToGrid w:val="0"/>
              <w:spacing w:beforeAutospacing="0" w:afterAutospacing="0" w:line="300" w:lineRule="auto"/>
              <w:ind w:firstLineChars="200" w:firstLine="560"/>
              <w:jc w:val="both"/>
              <w:rPr>
                <w:rFonts w:ascii="仿宋_GB2312" w:eastAsia="仿宋_GB2312" w:hAnsi="仿宋_GB2312" w:cs="仿宋_GB2312"/>
                <w:sz w:val="28"/>
                <w:szCs w:val="28"/>
                <w:shd w:val="clear" w:color="auto" w:fill="FFFFFF"/>
              </w:rPr>
            </w:pPr>
            <w:r w:rsidRPr="006A733E">
              <w:rPr>
                <w:rFonts w:ascii="仿宋_GB2312" w:eastAsia="仿宋_GB2312" w:hAnsi="仿宋_GB2312" w:cs="仿宋_GB2312" w:hint="eastAsia"/>
                <w:sz w:val="28"/>
                <w:szCs w:val="28"/>
                <w:shd w:val="clear" w:color="FFFFFF" w:fill="D9D9D9"/>
                <w:lang w:bidi="ar"/>
              </w:rPr>
              <w:t>聚氯乙烯指定交割仓库分为集团交割仓库和非集团交割仓库。集团交割仓库下设分库，分库</w:t>
            </w:r>
            <w:proofErr w:type="gramStart"/>
            <w:r w:rsidRPr="006A733E">
              <w:rPr>
                <w:rFonts w:ascii="仿宋_GB2312" w:eastAsia="仿宋_GB2312" w:hAnsi="仿宋_GB2312" w:cs="仿宋_GB2312" w:hint="eastAsia"/>
                <w:sz w:val="28"/>
                <w:szCs w:val="28"/>
                <w:shd w:val="clear" w:color="FFFFFF" w:fill="D9D9D9"/>
                <w:lang w:bidi="ar"/>
              </w:rPr>
              <w:t>经集团</w:t>
            </w:r>
            <w:proofErr w:type="gramEnd"/>
            <w:r w:rsidRPr="006A733E">
              <w:rPr>
                <w:rFonts w:ascii="仿宋_GB2312" w:eastAsia="仿宋_GB2312" w:hAnsi="仿宋_GB2312" w:cs="仿宋_GB2312" w:hint="eastAsia"/>
                <w:sz w:val="28"/>
                <w:szCs w:val="28"/>
                <w:shd w:val="clear" w:color="FFFFFF" w:fill="D9D9D9"/>
                <w:lang w:bidi="ar"/>
              </w:rPr>
              <w:t>交割仓库授权开具标准仓单，标准仓单相关权利义务由集团交割仓库承担。</w:t>
            </w:r>
          </w:p>
        </w:tc>
      </w:tr>
      <w:tr w:rsidR="0074307A" w:rsidRPr="006A733E" w:rsidTr="00A57C4B">
        <w:trPr>
          <w:jc w:val="center"/>
        </w:trPr>
        <w:tc>
          <w:tcPr>
            <w:tcW w:w="5144" w:type="dxa"/>
            <w:shd w:val="clear" w:color="auto" w:fill="auto"/>
          </w:tcPr>
          <w:p w:rsidR="0074307A" w:rsidRPr="006A733E" w:rsidRDefault="0074307A" w:rsidP="00A57C4B">
            <w:pPr>
              <w:adjustRightInd w:val="0"/>
              <w:snapToGrid w:val="0"/>
              <w:spacing w:line="300" w:lineRule="auto"/>
              <w:ind w:firstLineChars="200" w:firstLine="560"/>
              <w:rPr>
                <w:rFonts w:ascii="仿宋_GB2312" w:eastAsia="仿宋_GB2312" w:hAnsi="仿宋_GB2312" w:cs="仿宋_GB2312"/>
                <w:kern w:val="0"/>
                <w:sz w:val="28"/>
                <w:szCs w:val="28"/>
                <w:shd w:val="clear" w:color="auto" w:fill="FFFFFF"/>
                <w:lang w:bidi="ar"/>
              </w:rPr>
            </w:pPr>
            <w:r w:rsidRPr="006A733E">
              <w:rPr>
                <w:rFonts w:ascii="仿宋_GB2312" w:eastAsia="仿宋_GB2312" w:hAnsi="仿宋_GB2312" w:cs="仿宋_GB2312" w:hint="eastAsia"/>
                <w:kern w:val="0"/>
                <w:sz w:val="28"/>
                <w:szCs w:val="28"/>
                <w:shd w:val="clear" w:color="auto" w:fill="FFFFFF"/>
                <w:lang w:bidi="ar"/>
              </w:rPr>
              <w:t>第十七条 聚氯乙烯标准仓单分为仓库标准仓单和厂库标准仓单。</w:t>
            </w:r>
          </w:p>
        </w:tc>
        <w:tc>
          <w:tcPr>
            <w:tcW w:w="5166" w:type="dxa"/>
            <w:shd w:val="clear" w:color="auto" w:fill="auto"/>
          </w:tcPr>
          <w:p w:rsidR="0074307A" w:rsidRPr="006A733E" w:rsidRDefault="0074307A" w:rsidP="00A57C4B">
            <w:pPr>
              <w:pStyle w:val="a7"/>
              <w:widowControl/>
              <w:shd w:val="clear" w:color="auto" w:fill="FFFFFF"/>
              <w:adjustRightInd w:val="0"/>
              <w:snapToGrid w:val="0"/>
              <w:spacing w:beforeAutospacing="0" w:afterAutospacing="0" w:line="300" w:lineRule="auto"/>
              <w:ind w:firstLineChars="200" w:firstLine="560"/>
              <w:jc w:val="both"/>
              <w:rPr>
                <w:rFonts w:ascii="仿宋_GB2312" w:eastAsia="仿宋_GB2312" w:hAnsi="仿宋_GB2312" w:cs="仿宋_GB2312"/>
                <w:sz w:val="28"/>
                <w:szCs w:val="28"/>
                <w:shd w:val="clear" w:color="auto" w:fill="FFFFFF"/>
              </w:rPr>
            </w:pPr>
            <w:r w:rsidRPr="006A733E">
              <w:rPr>
                <w:rFonts w:ascii="仿宋_GB2312" w:eastAsia="仿宋_GB2312" w:hAnsi="仿宋_GB2312" w:cs="仿宋_GB2312" w:hint="eastAsia"/>
                <w:sz w:val="28"/>
                <w:szCs w:val="28"/>
                <w:shd w:val="clear" w:color="auto" w:fill="FFFFFF"/>
                <w:lang w:bidi="ar"/>
              </w:rPr>
              <w:t>第十七条 聚氯乙烯标准仓单分为仓库标准仓单和厂库标准仓单。</w:t>
            </w:r>
          </w:p>
          <w:p w:rsidR="0074307A" w:rsidRPr="006A733E" w:rsidRDefault="0074307A" w:rsidP="00A57C4B">
            <w:pPr>
              <w:pStyle w:val="a7"/>
              <w:widowControl/>
              <w:shd w:val="clear" w:color="auto" w:fill="FFFFFF"/>
              <w:adjustRightInd w:val="0"/>
              <w:snapToGrid w:val="0"/>
              <w:spacing w:beforeAutospacing="0" w:afterAutospacing="0" w:line="300" w:lineRule="auto"/>
              <w:ind w:firstLineChars="200" w:firstLine="560"/>
              <w:jc w:val="both"/>
              <w:rPr>
                <w:rFonts w:ascii="仿宋_GB2312" w:eastAsia="仿宋_GB2312" w:hAnsi="仿宋_GB2312" w:cs="仿宋_GB2312"/>
                <w:sz w:val="28"/>
                <w:szCs w:val="28"/>
                <w:shd w:val="clear" w:color="FFFFFF" w:fill="D9D9D9"/>
              </w:rPr>
            </w:pPr>
            <w:r w:rsidRPr="006A733E">
              <w:rPr>
                <w:rFonts w:ascii="仿宋_GB2312" w:eastAsia="仿宋_GB2312" w:hAnsi="仿宋_GB2312" w:cs="仿宋_GB2312" w:hint="eastAsia"/>
                <w:sz w:val="28"/>
                <w:szCs w:val="28"/>
                <w:shd w:val="clear" w:color="FFFFFF" w:fill="D9D9D9"/>
                <w:lang w:bidi="ar"/>
              </w:rPr>
              <w:t>聚氯乙烯集团交割仓库的分库可以开具仓库标准仓单或者厂库标准仓单。分库开具仓库标准仓单的，该分库的交割业务办理参照适用聚氯乙烯仓库有关规定。分库开具厂库标准仓单的，集团交割仓库应当向交易所提供交易所认可的银行履约担保函或者其它担保方式，该分库的交割业务办理参照适用聚氯乙烯厂库有关规定。</w:t>
            </w:r>
          </w:p>
        </w:tc>
      </w:tr>
    </w:tbl>
    <w:p w:rsidR="002E1788" w:rsidRPr="0074307A" w:rsidRDefault="002E1788">
      <w:bookmarkStart w:id="0" w:name="_GoBack"/>
      <w:bookmarkEnd w:id="0"/>
    </w:p>
    <w:sectPr w:rsidR="002E1788" w:rsidRPr="0074307A" w:rsidSect="00C61288">
      <w:footerReference w:type="even" r:id="rId6"/>
      <w:footerReference w:type="default" r:id="rId7"/>
      <w:pgSz w:w="11906" w:h="16838"/>
      <w:pgMar w:top="2098" w:right="1588" w:bottom="1718"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7A" w:rsidRDefault="0074307A" w:rsidP="0074307A">
      <w:r>
        <w:separator/>
      </w:r>
    </w:p>
  </w:endnote>
  <w:endnote w:type="continuationSeparator" w:id="0">
    <w:p w:rsidR="0074307A" w:rsidRDefault="0074307A" w:rsidP="0074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88" w:rsidRPr="00C61288" w:rsidRDefault="0074307A" w:rsidP="00C61288">
    <w:pPr>
      <w:pStyle w:val="a5"/>
      <w:ind w:leftChars="100" w:left="210"/>
      <w:rPr>
        <w:rFonts w:ascii="宋体" w:eastAsia="宋体" w:hAnsi="宋体" w:hint="eastAsia"/>
        <w:sz w:val="28"/>
        <w:szCs w:val="28"/>
      </w:rPr>
    </w:pPr>
    <w:r w:rsidRPr="00C61288">
      <w:rPr>
        <w:rFonts w:ascii="宋体" w:eastAsia="宋体" w:hAnsi="宋体"/>
        <w:sz w:val="28"/>
        <w:szCs w:val="28"/>
      </w:rPr>
      <w:fldChar w:fldCharType="begin"/>
    </w:r>
    <w:r w:rsidRPr="00C61288">
      <w:rPr>
        <w:rFonts w:ascii="宋体" w:eastAsia="宋体" w:hAnsi="宋体"/>
        <w:sz w:val="28"/>
        <w:szCs w:val="28"/>
      </w:rPr>
      <w:instrText>PAGE   \* MERGEFORMAT</w:instrText>
    </w:r>
    <w:r w:rsidRPr="00C61288">
      <w:rPr>
        <w:rFonts w:ascii="宋体" w:eastAsia="宋体" w:hAnsi="宋体"/>
        <w:sz w:val="28"/>
        <w:szCs w:val="28"/>
      </w:rPr>
      <w:fldChar w:fldCharType="separate"/>
    </w:r>
    <w:r w:rsidRPr="00C93664">
      <w:rPr>
        <w:rFonts w:ascii="宋体" w:eastAsia="宋体" w:hAnsi="宋体"/>
        <w:noProof/>
        <w:sz w:val="28"/>
        <w:szCs w:val="28"/>
        <w:lang w:val="zh-CN"/>
      </w:rPr>
      <w:t>-</w:t>
    </w:r>
    <w:r>
      <w:rPr>
        <w:rFonts w:ascii="宋体" w:eastAsia="宋体" w:hAnsi="宋体"/>
        <w:noProof/>
        <w:sz w:val="28"/>
        <w:szCs w:val="28"/>
      </w:rPr>
      <w:t xml:space="preserve"> 12 -</w:t>
    </w:r>
    <w:r w:rsidRPr="00C61288">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33E" w:rsidRPr="00C61288" w:rsidRDefault="0074307A" w:rsidP="00C61288">
    <w:pPr>
      <w:pStyle w:val="a5"/>
      <w:ind w:rightChars="100" w:right="210"/>
      <w:jc w:val="right"/>
      <w:rPr>
        <w:rFonts w:ascii="宋体" w:eastAsia="宋体" w:hAnsi="宋体" w:hint="eastAsia"/>
        <w:sz w:val="28"/>
        <w:szCs w:val="28"/>
      </w:rPr>
    </w:pPr>
    <w:r w:rsidRPr="00C61288">
      <w:rPr>
        <w:rFonts w:ascii="宋体" w:eastAsia="宋体" w:hAnsi="宋体"/>
        <w:sz w:val="28"/>
        <w:szCs w:val="28"/>
      </w:rPr>
      <w:fldChar w:fldCharType="begin"/>
    </w:r>
    <w:r w:rsidRPr="00C61288">
      <w:rPr>
        <w:rFonts w:ascii="宋体" w:eastAsia="宋体" w:hAnsi="宋体"/>
        <w:sz w:val="28"/>
        <w:szCs w:val="28"/>
      </w:rPr>
      <w:instrText>PAGE   \* MERGEFORMAT</w:instrText>
    </w:r>
    <w:r w:rsidRPr="00C61288">
      <w:rPr>
        <w:rFonts w:ascii="宋体" w:eastAsia="宋体" w:hAnsi="宋体"/>
        <w:sz w:val="28"/>
        <w:szCs w:val="28"/>
      </w:rPr>
      <w:fldChar w:fldCharType="separate"/>
    </w:r>
    <w:r w:rsidRPr="0074307A">
      <w:rPr>
        <w:rFonts w:ascii="宋体" w:eastAsia="宋体" w:hAnsi="宋体"/>
        <w:noProof/>
        <w:sz w:val="28"/>
        <w:szCs w:val="28"/>
        <w:lang w:val="zh-CN"/>
      </w:rPr>
      <w:t>-</w:t>
    </w:r>
    <w:r>
      <w:rPr>
        <w:rFonts w:ascii="宋体" w:eastAsia="宋体" w:hAnsi="宋体"/>
        <w:noProof/>
        <w:sz w:val="28"/>
        <w:szCs w:val="28"/>
      </w:rPr>
      <w:t xml:space="preserve"> 2 -</w:t>
    </w:r>
    <w:r w:rsidRPr="00C61288">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7A" w:rsidRDefault="0074307A" w:rsidP="0074307A">
      <w:r>
        <w:separator/>
      </w:r>
    </w:p>
  </w:footnote>
  <w:footnote w:type="continuationSeparator" w:id="0">
    <w:p w:rsidR="0074307A" w:rsidRDefault="0074307A" w:rsidP="00743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77"/>
    <w:rsid w:val="002E1788"/>
    <w:rsid w:val="0074307A"/>
    <w:rsid w:val="00BE0EDB"/>
    <w:rsid w:val="00D8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E07E"/>
  <w15:chartTrackingRefBased/>
  <w15:docId w15:val="{5C799732-CC1D-47DC-A6F4-B285F6F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7A"/>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0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307A"/>
    <w:rPr>
      <w:sz w:val="18"/>
      <w:szCs w:val="18"/>
    </w:rPr>
  </w:style>
  <w:style w:type="paragraph" w:styleId="a5">
    <w:name w:val="footer"/>
    <w:basedOn w:val="a"/>
    <w:link w:val="a6"/>
    <w:uiPriority w:val="99"/>
    <w:unhideWhenUsed/>
    <w:rsid w:val="007430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307A"/>
    <w:rPr>
      <w:sz w:val="18"/>
      <w:szCs w:val="18"/>
    </w:rPr>
  </w:style>
  <w:style w:type="paragraph" w:styleId="a7">
    <w:name w:val="Normal (Web)"/>
    <w:basedOn w:val="a"/>
    <w:qFormat/>
    <w:rsid w:val="0074307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刘澜</dc:creator>
  <cp:keywords/>
  <dc:description/>
  <cp:lastModifiedBy>刘澜</cp:lastModifiedBy>
  <cp:revision>2</cp:revision>
  <dcterms:created xsi:type="dcterms:W3CDTF">2022-06-10T08:23:00Z</dcterms:created>
  <dcterms:modified xsi:type="dcterms:W3CDTF">2022-06-10T08:23:00Z</dcterms:modified>
</cp:coreProperties>
</file>